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C4C" w:rsidRDefault="00713C4C">
      <w:pPr>
        <w:overflowPunct w:val="0"/>
        <w:autoSpaceDE w:val="0"/>
        <w:autoSpaceDN w:val="0"/>
        <w:adjustRightInd w:val="0"/>
        <w:spacing w:after="0" w:line="240" w:lineRule="auto"/>
        <w:textAlignment w:val="baseline"/>
        <w:rPr>
          <w:rFonts w:eastAsia="Times New Roman"/>
          <w:b/>
        </w:rPr>
      </w:pPr>
      <w:bookmarkStart w:id="0" w:name="neutral"/>
      <w:bookmarkStart w:id="1" w:name="FaxNr"/>
    </w:p>
    <w:bookmarkEnd w:id="1"/>
    <w:p w:rsidR="00713C4C" w:rsidRDefault="00CF5E23">
      <w:pPr>
        <w:pStyle w:val="Text-1"/>
        <w:spacing w:after="0" w:line="240" w:lineRule="auto"/>
        <w:rPr>
          <w:b/>
        </w:rPr>
      </w:pPr>
      <w:r>
        <w:rPr>
          <w:b/>
        </w:rPr>
        <w:t>Vorab per Telefax: 0 30 / 28 49 39 – 11</w:t>
      </w:r>
    </w:p>
    <w:p w:rsidR="00713C4C" w:rsidRDefault="00713C4C">
      <w:pPr>
        <w:pStyle w:val="Text-1"/>
        <w:spacing w:after="0" w:line="240" w:lineRule="auto"/>
      </w:pPr>
    </w:p>
    <w:p w:rsidR="00713C4C" w:rsidRDefault="00CF5E23">
      <w:pPr>
        <w:pStyle w:val="Text-1"/>
        <w:spacing w:after="0" w:line="240" w:lineRule="auto"/>
      </w:pPr>
      <w:r>
        <w:t>Bundesrechtsanwaltskammer</w:t>
      </w:r>
    </w:p>
    <w:p w:rsidR="00713C4C" w:rsidRDefault="00CF5E23">
      <w:pPr>
        <w:pStyle w:val="Text-1"/>
        <w:spacing w:after="0" w:line="240" w:lineRule="auto"/>
      </w:pPr>
      <w:r>
        <w:t>Körperschaft des öffentlichen Rechts</w:t>
      </w:r>
    </w:p>
    <w:p w:rsidR="00713C4C" w:rsidRDefault="00CF5E23">
      <w:pPr>
        <w:pStyle w:val="Text-1"/>
        <w:spacing w:after="0" w:line="240" w:lineRule="auto"/>
      </w:pPr>
      <w:r>
        <w:t>Littenstraße 9</w:t>
      </w:r>
    </w:p>
    <w:p w:rsidR="00713C4C" w:rsidRDefault="00CF5E23">
      <w:pPr>
        <w:pStyle w:val="Text-1"/>
        <w:spacing w:after="0" w:line="240" w:lineRule="auto"/>
      </w:pPr>
      <w:r>
        <w:t>10179 Berlin</w:t>
      </w:r>
    </w:p>
    <w:p w:rsidR="00713C4C" w:rsidRDefault="00713C4C">
      <w:pPr>
        <w:pStyle w:val="Text-1"/>
        <w:spacing w:after="0" w:line="240" w:lineRule="auto"/>
      </w:pPr>
    </w:p>
    <w:p w:rsidR="00713C4C" w:rsidRDefault="00713C4C">
      <w:pPr>
        <w:pStyle w:val="Text-1"/>
        <w:spacing w:after="0" w:line="240" w:lineRule="auto"/>
      </w:pPr>
    </w:p>
    <w:p w:rsidR="00713C4C" w:rsidRDefault="00713C4C">
      <w:pPr>
        <w:pStyle w:val="Text-1"/>
        <w:spacing w:after="0" w:line="240" w:lineRule="auto"/>
      </w:pPr>
    </w:p>
    <w:p w:rsidR="00713C4C" w:rsidRDefault="00713C4C">
      <w:pPr>
        <w:pStyle w:val="Text-1"/>
        <w:spacing w:after="0" w:line="240" w:lineRule="auto"/>
      </w:pPr>
    </w:p>
    <w:p w:rsidR="00713C4C" w:rsidRDefault="00713C4C">
      <w:pPr>
        <w:pStyle w:val="Text-1"/>
        <w:spacing w:after="0" w:line="240" w:lineRule="auto"/>
      </w:pPr>
    </w:p>
    <w:p w:rsidR="00713C4C" w:rsidRDefault="00713C4C">
      <w:pPr>
        <w:pStyle w:val="Text-1"/>
        <w:spacing w:after="0" w:line="240" w:lineRule="auto"/>
      </w:pPr>
    </w:p>
    <w:p w:rsidR="00713C4C" w:rsidRDefault="00713C4C">
      <w:pPr>
        <w:pStyle w:val="Text-1"/>
        <w:spacing w:after="0" w:line="240" w:lineRule="auto"/>
      </w:pPr>
    </w:p>
    <w:p w:rsidR="00713C4C" w:rsidRDefault="00713C4C">
      <w:pPr>
        <w:pStyle w:val="Text-1"/>
        <w:spacing w:after="0" w:line="240" w:lineRule="auto"/>
      </w:pPr>
    </w:p>
    <w:p w:rsidR="00713C4C" w:rsidRDefault="00CF5E23">
      <w:pPr>
        <w:pStyle w:val="Text-1"/>
        <w:spacing w:after="0" w:line="240" w:lineRule="auto"/>
        <w:rPr>
          <w:b/>
        </w:rPr>
      </w:pPr>
      <w:bookmarkStart w:id="2" w:name="ema"/>
      <w:bookmarkStart w:id="3" w:name="zv"/>
      <w:r>
        <w:rPr>
          <w:b/>
        </w:rPr>
        <w:t>Antragsnummer</w:t>
      </w:r>
      <w:r>
        <w:t xml:space="preserve"> </w:t>
      </w:r>
      <w:r>
        <w:rPr>
          <w:rFonts w:cstheme="minorBidi"/>
          <w:b/>
        </w:rPr>
        <w:t>für die Erstregistrierung: _________________</w:t>
      </w:r>
    </w:p>
    <w:p w:rsidR="00713C4C" w:rsidRDefault="00713C4C">
      <w:pPr>
        <w:pStyle w:val="Text-1"/>
      </w:pPr>
    </w:p>
    <w:bookmarkEnd w:id="0"/>
    <w:bookmarkEnd w:id="2"/>
    <w:bookmarkEnd w:id="3"/>
    <w:p w:rsidR="00713C4C" w:rsidRDefault="00CF5E23">
      <w:pPr>
        <w:pStyle w:val="Text-1"/>
      </w:pPr>
      <w:r>
        <w:t>Sehr geehrte Damen und Herren Kollegen,</w:t>
      </w:r>
    </w:p>
    <w:p w:rsidR="00713C4C" w:rsidRDefault="00CF5E23">
      <w:pPr>
        <w:pStyle w:val="Text-1"/>
        <w:rPr>
          <w:rFonts w:cstheme="minorBidi"/>
        </w:rPr>
      </w:pPr>
      <w:r>
        <w:rPr>
          <w:rFonts w:cstheme="minorBidi"/>
        </w:rPr>
        <w:t>wir zeigen an, dass wir die Interessen von Herrn Rechtsanwalt bzw. Frau Rechtsa</w:t>
      </w:r>
      <w:r>
        <w:rPr>
          <w:rFonts w:cstheme="minorBidi"/>
        </w:rPr>
        <w:t>n</w:t>
      </w:r>
      <w:r>
        <w:rPr>
          <w:rFonts w:cstheme="minorBidi"/>
        </w:rPr>
        <w:t xml:space="preserve">wältin _____________________________________ (nachfolgend nur </w:t>
      </w:r>
      <w:r w:rsidRPr="00CF5E23">
        <w:rPr>
          <w:rFonts w:cstheme="minorBidi"/>
          <w:b/>
        </w:rPr>
        <w:t>Mandant</w:t>
      </w:r>
      <w:r>
        <w:rPr>
          <w:rFonts w:cstheme="minorBidi"/>
        </w:rPr>
        <w:t xml:space="preserve"> g</w:t>
      </w:r>
      <w:r>
        <w:rPr>
          <w:rFonts w:cstheme="minorBidi"/>
        </w:rPr>
        <w:t>e</w:t>
      </w:r>
      <w:r>
        <w:rPr>
          <w:rFonts w:cstheme="minorBidi"/>
        </w:rPr>
        <w:t>nannt) vertreten.</w:t>
      </w:r>
    </w:p>
    <w:p w:rsidR="00713C4C" w:rsidRDefault="00CF5E23">
      <w:pPr>
        <w:pStyle w:val="Text-1"/>
        <w:rPr>
          <w:rFonts w:cstheme="minorBidi"/>
        </w:rPr>
      </w:pPr>
      <w:r>
        <w:rPr>
          <w:rFonts w:cstheme="minorBidi"/>
        </w:rPr>
        <w:t xml:space="preserve">Wir </w:t>
      </w:r>
      <w:r>
        <w:rPr>
          <w:rFonts w:cstheme="minorBidi"/>
          <w:u w:val="single"/>
        </w:rPr>
        <w:t>fordern Sie auf</w:t>
      </w:r>
      <w:r>
        <w:rPr>
          <w:rFonts w:cstheme="minorBidi"/>
        </w:rPr>
        <w:t>, spätestens bis zum</w:t>
      </w:r>
    </w:p>
    <w:p w:rsidR="00713C4C" w:rsidRDefault="009165BF">
      <w:pPr>
        <w:pStyle w:val="Frist"/>
      </w:pPr>
      <w:r>
        <w:t>30</w:t>
      </w:r>
      <w:r w:rsidR="00CF5E23">
        <w:t>. November 2015</w:t>
      </w:r>
    </w:p>
    <w:p w:rsidR="00713C4C" w:rsidRDefault="00CF5E23">
      <w:pPr>
        <w:pStyle w:val="Text-1"/>
      </w:pPr>
      <w:r>
        <w:t>uns gegenüber schriftlich erklärt zu haben,</w:t>
      </w:r>
    </w:p>
    <w:p w:rsidR="00CF5E23" w:rsidRDefault="00CF5E23" w:rsidP="006B20B6">
      <w:pPr>
        <w:pStyle w:val="Zitat-2"/>
        <w:spacing w:after="240"/>
      </w:pPr>
      <w:r>
        <w:t xml:space="preserve">es zu unterlassen, </w:t>
      </w:r>
    </w:p>
    <w:p w:rsidR="00CF5E23" w:rsidRDefault="00CF5E23" w:rsidP="009165BF">
      <w:pPr>
        <w:pStyle w:val="Zitat-2"/>
        <w:spacing w:after="240"/>
        <w:ind w:left="1701" w:right="1245"/>
      </w:pPr>
      <w:r>
        <w:t xml:space="preserve">das </w:t>
      </w:r>
      <w:r>
        <w:rPr>
          <w:rFonts w:cstheme="minorBidi"/>
        </w:rPr>
        <w:t>besondere elektronische Anwaltspostfach</w:t>
      </w:r>
      <w:r>
        <w:t xml:space="preserve"> (beA) für unseren Mandanten empfangsbereit ei</w:t>
      </w:r>
      <w:r>
        <w:t>n</w:t>
      </w:r>
      <w:r>
        <w:t xml:space="preserve">zurichten, </w:t>
      </w:r>
    </w:p>
    <w:p w:rsidR="006B20B6" w:rsidRPr="006B20B6" w:rsidRDefault="006B20B6" w:rsidP="009165BF">
      <w:pPr>
        <w:pStyle w:val="Zitat-2"/>
        <w:spacing w:after="240"/>
        <w:ind w:left="1701" w:right="1245"/>
      </w:pPr>
      <w:r>
        <w:rPr>
          <w:u w:val="single"/>
        </w:rPr>
        <w:t>hilfsweise</w:t>
      </w:r>
      <w:r>
        <w:t xml:space="preserve">, es zu unterlassen, unseren Mandanten in das technische </w:t>
      </w:r>
      <w:r>
        <w:rPr>
          <w:rFonts w:cstheme="minorBidi"/>
        </w:rPr>
        <w:t xml:space="preserve">Verzeichnis der möglichen Empfänger </w:t>
      </w:r>
      <w:r>
        <w:t>für den Betrieb des beA aufzunehmen,</w:t>
      </w:r>
    </w:p>
    <w:p w:rsidR="00713C4C" w:rsidRDefault="00CF5E23" w:rsidP="009165BF">
      <w:pPr>
        <w:pStyle w:val="Zitat-2"/>
        <w:spacing w:after="360"/>
        <w:ind w:right="1245"/>
      </w:pPr>
      <w:r>
        <w:t>ohne dass unser Mandant eine beA-Karte zur Erstregistri</w:t>
      </w:r>
      <w:r>
        <w:t>e</w:t>
      </w:r>
      <w:r>
        <w:t>rung beantragt hat und/oder ohne dass für unseren Mandanten das Identifizierun</w:t>
      </w:r>
      <w:r w:rsidR="006B20B6">
        <w:t>gsverfahren durchgeführt wurde.</w:t>
      </w:r>
    </w:p>
    <w:p w:rsidR="00713C4C" w:rsidRDefault="00CF5E23">
      <w:pPr>
        <w:pStyle w:val="berschrift1"/>
      </w:pPr>
      <w:r>
        <w:lastRenderedPageBreak/>
        <w:t>A.</w:t>
      </w:r>
      <w:r>
        <w:br/>
        <w:t>Sachverhalt</w:t>
      </w:r>
    </w:p>
    <w:p w:rsidR="00713C4C" w:rsidRDefault="00CF5E23">
      <w:pPr>
        <w:pStyle w:val="Text-1"/>
      </w:pPr>
      <w:r>
        <w:t>Unser Mandant ist Rechtsanwalt</w:t>
      </w:r>
      <w:r w:rsidR="002F4566">
        <w:t xml:space="preserve"> bzw. Rechtsanwältin </w:t>
      </w:r>
      <w:r>
        <w:t xml:space="preserve">und seit dem </w:t>
      </w:r>
      <w:r w:rsidR="002F4566">
        <w:t>______________</w:t>
      </w:r>
      <w:r w:rsidR="002F4566" w:rsidRPr="002F4566">
        <w:t xml:space="preserve"> </w:t>
      </w:r>
      <w:r>
        <w:t>zug</w:t>
      </w:r>
      <w:r>
        <w:t>e</w:t>
      </w:r>
      <w:r>
        <w:t xml:space="preserve">lassen. </w:t>
      </w:r>
    </w:p>
    <w:p w:rsidR="00713C4C" w:rsidRDefault="00CF5E23">
      <w:pPr>
        <w:pStyle w:val="Text-1"/>
      </w:pPr>
      <w:r>
        <w:t>Mit Schreiben vom 31.08.2015 teilten Sie unserem Mandanten mit, dass er unter der Antragsnummer</w:t>
      </w:r>
      <w:r w:rsidR="002F4566">
        <w:t xml:space="preserve"> __________________</w:t>
      </w:r>
      <w:r w:rsidR="002F4566" w:rsidRPr="002F4566">
        <w:t xml:space="preserve"> </w:t>
      </w:r>
      <w:r>
        <w:t>eine beA-Karte zur Erstregistrierung zum beA b</w:t>
      </w:r>
      <w:r>
        <w:t>e</w:t>
      </w:r>
      <w:r>
        <w:t>antragen könne. Einen Antrag auf Erstregistrierung stellte unser Mandant nicht.</w:t>
      </w:r>
    </w:p>
    <w:p w:rsidR="00713C4C" w:rsidRDefault="00CF5E23">
      <w:pPr>
        <w:pStyle w:val="Text-1"/>
      </w:pPr>
      <w:r>
        <w:t>In Ihren Veröffentlichungen im Internet führen Sie wörtlich aus:</w:t>
      </w:r>
    </w:p>
    <w:p w:rsidR="00713C4C" w:rsidRDefault="00CF5E23">
      <w:pPr>
        <w:pStyle w:val="Zitat-1"/>
      </w:pPr>
      <w:r>
        <w:t>Der Gesetzgeber hat die Bundesrechtsanwaltskammer im neuen § 31a BRAO (i.d.F. des Gesetzes zur Förderung des elektronischen Recht</w:t>
      </w:r>
      <w:r>
        <w:t>s</w:t>
      </w:r>
      <w:r>
        <w:t>verkehrs) beauftragt, für jeden eingetragenen Rechtsanwalt ein beso</w:t>
      </w:r>
      <w:r>
        <w:t>n</w:t>
      </w:r>
      <w:r>
        <w:t>deres elektronisches Anwaltspostfach einzurichten. Ausnahmen sind nicht vorgesehen. Die BRAK wird daher allen Rechtsanwältinnen und Rechtsanwälten gemäß ihrem gesetzlichen Auftrag zum 1.1.2016 ein empfangsbereites beA einrichten.</w:t>
      </w:r>
      <w:r>
        <w:br/>
      </w:r>
      <w:r>
        <w:br/>
        <w:t>Für den Zugriff darauf ist eine beA-Karte erforderlich. Unabhängig d</w:t>
      </w:r>
      <w:r>
        <w:t>a</w:t>
      </w:r>
      <w:r>
        <w:t>von, ob diese Karte bestellt und die Erstregistrierung vorgenommen wurde, ist das Postfach für Gerichte, Kollegen und die Rechtsanwalt</w:t>
      </w:r>
      <w:r>
        <w:t>s</w:t>
      </w:r>
      <w:r>
        <w:t xml:space="preserve">kammern erreichbar. </w:t>
      </w:r>
      <w:r>
        <w:br/>
        <w:t>(Quelle: bea.brak.de/fragen-und-antworten)</w:t>
      </w:r>
    </w:p>
    <w:p w:rsidR="00713C4C" w:rsidRDefault="00CF5E23">
      <w:pPr>
        <w:pStyle w:val="Text-1"/>
      </w:pPr>
      <w:r>
        <w:t>Weiter führen Sie auf Ihren Internetseiten wörtlich aus:</w:t>
      </w:r>
    </w:p>
    <w:p w:rsidR="00713C4C" w:rsidRDefault="00CF5E23">
      <w:pPr>
        <w:pStyle w:val="Zitat-1"/>
      </w:pPr>
      <w:r>
        <w:t>Alle Rechtsanwälte können ab 1. Januar 2016 über das beA am elek</w:t>
      </w:r>
      <w:r>
        <w:t>t</w:t>
      </w:r>
      <w:r>
        <w:t xml:space="preserve">ronischen Rechtsverkehr teilnehmen. Das heißt, dass ab 2016 allen Kollegen Nachrichten beziehungsweise Dokumente zugestellt werden können. Es bedeutet zugleich, dass alle Rechtsanwälte auch für die am ERV teilnehmenden Gerichte und die Kollegen erreichbar sind. </w:t>
      </w:r>
      <w:r>
        <w:br/>
        <w:t>(Quelle: bea.brak.de/was-ist-das-bea/teilnehmer)</w:t>
      </w:r>
    </w:p>
    <w:p w:rsidR="00713C4C" w:rsidRDefault="00CF5E23">
      <w:pPr>
        <w:pStyle w:val="Text-1"/>
      </w:pPr>
      <w:r>
        <w:t>Sie teilen auf ihrer Internetseite zu einer etwaigen Nutzungspflicht des beA durch e</w:t>
      </w:r>
      <w:r>
        <w:t>i</w:t>
      </w:r>
      <w:r>
        <w:t>nen Rechtsanwalt Folgendes wörtlich mit:</w:t>
      </w:r>
    </w:p>
    <w:p w:rsidR="00713C4C" w:rsidRDefault="00CF5E23">
      <w:pPr>
        <w:pStyle w:val="Zitat-1"/>
      </w:pPr>
      <w:r>
        <w:lastRenderedPageBreak/>
        <w:t>Die BRAK empfiehlt daher, auch wenn es gesetzlich keine ausdrückl</w:t>
      </w:r>
      <w:r>
        <w:t>i</w:t>
      </w:r>
      <w:r>
        <w:t>che Verpflichtung zur Nutzung des beA gibt, dennoch die für die Ers</w:t>
      </w:r>
      <w:r>
        <w:t>t</w:t>
      </w:r>
      <w:r>
        <w:t>registrierung erforderliche beA-Karte rechtzeitig zu bestellen, damit die Gefahr haftungsrechtlicher Konsequenzen durch das Verpassen rel</w:t>
      </w:r>
      <w:r>
        <w:t>e</w:t>
      </w:r>
      <w:r>
        <w:t>vanter Post vermieden wird.</w:t>
      </w:r>
    </w:p>
    <w:p w:rsidR="00713C4C" w:rsidRDefault="00CF5E23">
      <w:pPr>
        <w:pStyle w:val="Text-1"/>
        <w:rPr>
          <w:rFonts w:cstheme="minorBidi"/>
        </w:rPr>
      </w:pPr>
      <w:r>
        <w:rPr>
          <w:rFonts w:cstheme="minorBidi"/>
        </w:rPr>
        <w:t xml:space="preserve">Ihr Geschäftsführer, Herr </w:t>
      </w:r>
      <w:r>
        <w:rPr>
          <w:rFonts w:cstheme="minorBidi"/>
          <w:bCs/>
        </w:rPr>
        <w:t>Dipl.-Inform. Thomas Fenske, stellte am 01.10.2015 in Be</w:t>
      </w:r>
      <w:r>
        <w:rPr>
          <w:rFonts w:cstheme="minorBidi"/>
          <w:bCs/>
        </w:rPr>
        <w:t>r</w:t>
      </w:r>
      <w:r>
        <w:rPr>
          <w:rFonts w:cstheme="minorBidi"/>
          <w:bCs/>
        </w:rPr>
        <w:t xml:space="preserve">lin hin </w:t>
      </w:r>
      <w:r>
        <w:rPr>
          <w:rFonts w:cstheme="minorBidi"/>
        </w:rPr>
        <w:t>klar, dass die BRAK alle Rechtsanwälte, die zum 01.01.2016 im amtlichen Anwaltsverzeichnis aufgenommen sind, in das (technische) Verzeichnis der mögl</w:t>
      </w:r>
      <w:r>
        <w:rPr>
          <w:rFonts w:cstheme="minorBidi"/>
        </w:rPr>
        <w:t>i</w:t>
      </w:r>
      <w:r>
        <w:rPr>
          <w:rFonts w:cstheme="minorBidi"/>
        </w:rPr>
        <w:t>chen Empfänger des beA aufnehmen werde.</w:t>
      </w:r>
    </w:p>
    <w:p w:rsidR="00713C4C" w:rsidRDefault="00CF5E23">
      <w:pPr>
        <w:pStyle w:val="Text-1"/>
        <w:rPr>
          <w:rFonts w:cstheme="minorBidi"/>
        </w:rPr>
      </w:pPr>
      <w:r>
        <w:rPr>
          <w:rFonts w:cstheme="minorBidi"/>
        </w:rPr>
        <w:t>Wir halten es für technisch und organisatorisch möglich, nur diejenigen Rechtsanwä</w:t>
      </w:r>
      <w:r>
        <w:rPr>
          <w:rFonts w:cstheme="minorBidi"/>
        </w:rPr>
        <w:t>l</w:t>
      </w:r>
      <w:r>
        <w:rPr>
          <w:rFonts w:cstheme="minorBidi"/>
        </w:rPr>
        <w:t>te, welche die beA-Erstregistrierung beantragt haben, in das Verzeichnis der mögl</w:t>
      </w:r>
      <w:r>
        <w:rPr>
          <w:rFonts w:cstheme="minorBidi"/>
        </w:rPr>
        <w:t>i</w:t>
      </w:r>
      <w:r>
        <w:rPr>
          <w:rFonts w:cstheme="minorBidi"/>
        </w:rPr>
        <w:t>chen Empfänger des beA aufzunehmen. Nach unserer Kenntnis würden dadurch keine zusätzlichen Kosten entstehen.</w:t>
      </w:r>
    </w:p>
    <w:p w:rsidR="00713C4C" w:rsidRDefault="00CF5E23">
      <w:pPr>
        <w:pStyle w:val="berschrift1"/>
        <w:rPr>
          <w:rFonts w:eastAsiaTheme="majorEastAsia"/>
        </w:rPr>
      </w:pPr>
      <w:r>
        <w:rPr>
          <w:rFonts w:eastAsiaTheme="majorEastAsia"/>
        </w:rPr>
        <w:t>B.</w:t>
      </w:r>
      <w:r>
        <w:rPr>
          <w:rFonts w:eastAsiaTheme="majorEastAsia"/>
        </w:rPr>
        <w:br/>
        <w:t>Rechtliche Würdigung</w:t>
      </w:r>
    </w:p>
    <w:p w:rsidR="00713C4C" w:rsidRDefault="00CF5E23">
      <w:pPr>
        <w:pStyle w:val="berschrift2"/>
        <w:rPr>
          <w:rFonts w:eastAsiaTheme="majorEastAsia"/>
        </w:rPr>
      </w:pPr>
      <w:r>
        <w:rPr>
          <w:rFonts w:eastAsiaTheme="majorEastAsia"/>
        </w:rPr>
        <w:t>1.</w:t>
      </w:r>
      <w:r>
        <w:rPr>
          <w:rFonts w:eastAsiaTheme="majorEastAsia"/>
        </w:rPr>
        <w:tab/>
        <w:t>Zulässigkeit</w:t>
      </w:r>
    </w:p>
    <w:p w:rsidR="00713C4C" w:rsidRDefault="00CF5E23">
      <w:pPr>
        <w:pStyle w:val="Text-2"/>
        <w:rPr>
          <w:rFonts w:eastAsiaTheme="majorEastAsia"/>
          <w:lang w:eastAsia="en-US"/>
        </w:rPr>
      </w:pPr>
      <w:r>
        <w:rPr>
          <w:rFonts w:eastAsiaTheme="majorEastAsia"/>
          <w:lang w:eastAsia="en-US"/>
        </w:rPr>
        <w:t>Für die Aufforderung ist die BRAK nach § 33 Abs. 1 BRAO i.V.m. § 31a BRAO sachlich und örtlich zuständig.</w:t>
      </w:r>
    </w:p>
    <w:p w:rsidR="00713C4C" w:rsidRDefault="00CF5E23">
      <w:pPr>
        <w:pStyle w:val="berschrift2"/>
        <w:rPr>
          <w:rFonts w:eastAsiaTheme="majorEastAsia"/>
        </w:rPr>
      </w:pPr>
      <w:r>
        <w:rPr>
          <w:rFonts w:eastAsiaTheme="majorEastAsia"/>
        </w:rPr>
        <w:t>2.</w:t>
      </w:r>
      <w:r>
        <w:rPr>
          <w:rFonts w:eastAsiaTheme="majorEastAsia"/>
        </w:rPr>
        <w:tab/>
        <w:t>Begründetheit</w:t>
      </w:r>
    </w:p>
    <w:p w:rsidR="00713C4C" w:rsidRDefault="00CF5E23">
      <w:pPr>
        <w:pStyle w:val="Text-2"/>
      </w:pPr>
      <w:r>
        <w:rPr>
          <w:rFonts w:eastAsiaTheme="majorEastAsia"/>
        </w:rPr>
        <w:t xml:space="preserve">Unser Mandant hat einen Anspruch darauf, dass Sie es </w:t>
      </w:r>
      <w:r>
        <w:t>bis zum 31.12.2017 u</w:t>
      </w:r>
      <w:r>
        <w:t>n</w:t>
      </w:r>
      <w:r>
        <w:t xml:space="preserve">terlassen, das beA für unseren Mandanten empfangsbereit einzurichten ohne dass er eine beA-Karte zur Erstregistrierung beantragt hat. </w:t>
      </w:r>
    </w:p>
    <w:p w:rsidR="00713C4C" w:rsidRDefault="00CF5E23">
      <w:pPr>
        <w:pStyle w:val="Text-2"/>
      </w:pPr>
      <w:r>
        <w:t>Der Anspruch ergibt sich, weil spezialgesetzlich nicht geregelt, aus allgemeinen Grundsätzen, als quasinegatorischer Abwehranspruch entsprechend § 1004 BGB (VGH Mannheim NJW 1990, 1808; VBlBW 1990, 431; NJW 1986, 340; OVG Hamburg NVwZ 1995, 498). Entscheidend ist, dass Sie ohne eine Rechtsgrun</w:t>
      </w:r>
      <w:r>
        <w:t>d</w:t>
      </w:r>
      <w:r>
        <w:lastRenderedPageBreak/>
        <w:t>lage (hierzu unter a)) in eine Grundrechtsposition eingreifen (hierzu unter b)) und dafür keine Duldungspflicht besteht (hierzu unter c)).</w:t>
      </w:r>
    </w:p>
    <w:p w:rsidR="00713C4C" w:rsidRDefault="00CF5E23">
      <w:pPr>
        <w:pStyle w:val="Text-2"/>
      </w:pPr>
      <w:r>
        <w:t>Ihr Verhalten, das beA für unseren Mandanten empfangsbereit einzurichten o</w:t>
      </w:r>
      <w:r>
        <w:t>h</w:t>
      </w:r>
      <w:r>
        <w:t>ne dass er eine beA-Karte zur Erstregistrierung beantragt hat, stellt keinen Ve</w:t>
      </w:r>
      <w:r>
        <w:t>r</w:t>
      </w:r>
      <w:r>
        <w:t xml:space="preserve">waltungsakt nach § 35 VwVfG dar, weil in Ihrem Verhalten keine Regelung vorliegt. </w:t>
      </w:r>
    </w:p>
    <w:p w:rsidR="00713C4C" w:rsidRDefault="00CF5E23">
      <w:pPr>
        <w:pStyle w:val="Text-2"/>
      </w:pPr>
      <w:r>
        <w:t>Eine Regelung ist auf die verbindliche Festlegung von Rechten und Pflichten oder eines Rechtsstatus gerichtet, d.h. darauf, mit dem Anspruch unmittelbare Verbindlichkeit und mit bestandskraftfähiger Wirkung unmittelbar subjektive Rechte des Betroffenen zu begründen, zu konkretisieren und zu individualisi</w:t>
      </w:r>
      <w:r>
        <w:t>e</w:t>
      </w:r>
      <w:r>
        <w:t>ren (BVerwGE 79, 293), aufzuheben, abzuändern oder verbindlich festzustellen, oder aber darauf, die Begründung, Aufhebung, Abänderung oder Feststellung unmittelbar verbindlich abzulehnen (Kopp/Ramsauer, VwVfG, 15. Aufl., Mü</w:t>
      </w:r>
      <w:r>
        <w:t>n</w:t>
      </w:r>
      <w:r>
        <w:t>chen 2014, § 35 Rdnr. 88). Ihr Verhalten, das beA für unseren Mandanten em</w:t>
      </w:r>
      <w:r>
        <w:t>p</w:t>
      </w:r>
      <w:r>
        <w:t>fangsbereit einzurichten ohne dass er eine beA-Karte zur Erstregistrierung bea</w:t>
      </w:r>
      <w:r>
        <w:t>n</w:t>
      </w:r>
      <w:r>
        <w:t>tragt hat, stellt keine verbindliche Festlegung von Rechten und Pflichten oder eines Rechtsstatus dar, denn dieses tatsächliche Verhalten kann jederzeit geä</w:t>
      </w:r>
      <w:r>
        <w:t>n</w:t>
      </w:r>
      <w:r>
        <w:t>dert werden und betrifft unmittelbar einen konkreten technischen Aspekt des beA.</w:t>
      </w:r>
    </w:p>
    <w:p w:rsidR="00713C4C" w:rsidRDefault="00CF5E23">
      <w:pPr>
        <w:pStyle w:val="berschrift3"/>
        <w:rPr>
          <w:rFonts w:eastAsiaTheme="majorEastAsia"/>
        </w:rPr>
      </w:pPr>
      <w:r>
        <w:rPr>
          <w:rFonts w:eastAsiaTheme="majorEastAsia"/>
        </w:rPr>
        <w:t>a)</w:t>
      </w:r>
      <w:r>
        <w:rPr>
          <w:rFonts w:eastAsiaTheme="majorEastAsia"/>
        </w:rPr>
        <w:tab/>
        <w:t>Ohne Rechtsgrundlage</w:t>
      </w:r>
    </w:p>
    <w:p w:rsidR="00713C4C" w:rsidRDefault="00CF5E23">
      <w:pPr>
        <w:pStyle w:val="Text-2"/>
        <w:rPr>
          <w:rFonts w:eastAsiaTheme="majorEastAsia"/>
          <w:lang w:eastAsia="en-US"/>
        </w:rPr>
      </w:pPr>
      <w:r>
        <w:rPr>
          <w:rFonts w:eastAsiaTheme="majorEastAsia"/>
          <w:lang w:eastAsia="en-US"/>
        </w:rPr>
        <w:t xml:space="preserve">Ihr Handeln, </w:t>
      </w:r>
      <w:r>
        <w:t xml:space="preserve">das beA für unseren Mandanten empfangsbereit einzurichten ohne dass er eine beA-Karte zur Erstregistrierung beantragt hat, erfolgt ohne die dafür erforderliche </w:t>
      </w:r>
      <w:r>
        <w:rPr>
          <w:rFonts w:eastAsiaTheme="majorEastAsia"/>
        </w:rPr>
        <w:t>Rechtsgrundlage.</w:t>
      </w:r>
    </w:p>
    <w:p w:rsidR="00713C4C" w:rsidRDefault="00CF5E23">
      <w:pPr>
        <w:pStyle w:val="Text-2"/>
      </w:pPr>
      <w:r>
        <w:t>Eine ausdrückliche gesetzliche Grundlage für das von der BRAK als empfang</w:t>
      </w:r>
      <w:r>
        <w:t>s</w:t>
      </w:r>
      <w:r>
        <w:t>bereit geplante beA existiert nicht und § 31a Abs. 1 S. 1 BRAO (i.d.F. des G</w:t>
      </w:r>
      <w:r>
        <w:t>e</w:t>
      </w:r>
      <w:r>
        <w:t xml:space="preserve">setzes zur Förderung des elektronischen Rechtsverkehrs mit den Gerichten) kann nicht so ausgelegt werden, dass alle beA ab dem 01.01.2016 elektronische </w:t>
      </w:r>
      <w:r>
        <w:lastRenderedPageBreak/>
        <w:t xml:space="preserve">Nachrichten empfangen können müssen, auch wenn der jeweilige Rechtsanwalt die Erstregistrierung nicht durchgeführt hat. </w:t>
      </w:r>
    </w:p>
    <w:p w:rsidR="00713C4C" w:rsidRDefault="00CF5E23">
      <w:pPr>
        <w:pStyle w:val="Text-2"/>
      </w:pPr>
      <w:r>
        <w:t xml:space="preserve">Ich begründe dies wie folgt: </w:t>
      </w:r>
    </w:p>
    <w:p w:rsidR="00713C4C" w:rsidRDefault="00CF5E23">
      <w:pPr>
        <w:pStyle w:val="berschrift4"/>
        <w:rPr>
          <w:rFonts w:eastAsiaTheme="majorEastAsia"/>
        </w:rPr>
      </w:pPr>
      <w:r>
        <w:rPr>
          <w:rFonts w:eastAsiaTheme="majorEastAsia"/>
        </w:rPr>
        <w:t>aa)</w:t>
      </w:r>
      <w:r>
        <w:rPr>
          <w:rFonts w:eastAsiaTheme="majorEastAsia"/>
        </w:rPr>
        <w:tab/>
        <w:t>Eine ausdrückliche gesetzliche Grundlage fehlt</w:t>
      </w:r>
    </w:p>
    <w:p w:rsidR="00713C4C" w:rsidRDefault="00CF5E23">
      <w:pPr>
        <w:pStyle w:val="Text-2"/>
      </w:pPr>
      <w:r>
        <w:t xml:space="preserve">Das Gesetz zur Förderung des elektronischen Rechtsverkehrs mit den Gerichten regelt abschließend die Rechte und Pflichten der Beteiligten am elektronischen Rechtsverkehr mit den Gerichten. Es enthält keine ausdrückliche Vorschrift, dass das beA ab dem 01.01.2016 bereits empfangsbereit eingerichtet sein kann oder muss. </w:t>
      </w:r>
    </w:p>
    <w:p w:rsidR="00713C4C" w:rsidRDefault="00CF5E23">
      <w:pPr>
        <w:pStyle w:val="Text-2"/>
      </w:pPr>
      <w:r>
        <w:t>Insbesondere ergibt sich dies nicht aus der zentralen Vorschrift für die Einric</w:t>
      </w:r>
      <w:r>
        <w:t>h</w:t>
      </w:r>
      <w:r>
        <w:t>tung des beA, § 31a Abs. 1 S. 1 BRAO (i.d.F. des Gesetzes zur Förderung des elektronischen Rechtsverkehrs mit den Gerichten), welche wie folgt wörtlich lautet:</w:t>
      </w:r>
    </w:p>
    <w:p w:rsidR="00713C4C" w:rsidRDefault="00CF5E23">
      <w:pPr>
        <w:pStyle w:val="Zitat-2"/>
      </w:pPr>
      <w:r>
        <w:t>Die Bundesrechtsanwaltskammer richtet nach Überprüfung der Zulassung und Durchführung eines Identifizierungsverfahrens in dem Gesamtverzeichnis nach § 31 für jeden eingetragenen Rechtsanwalt ein besonderes elektronisches Anwaltspostfach ein.</w:t>
      </w:r>
    </w:p>
    <w:p w:rsidR="00713C4C" w:rsidRDefault="00CF5E23">
      <w:pPr>
        <w:pStyle w:val="berschrift4"/>
        <w:rPr>
          <w:rFonts w:eastAsiaTheme="majorEastAsia"/>
        </w:rPr>
      </w:pPr>
      <w:r>
        <w:rPr>
          <w:rFonts w:eastAsiaTheme="majorEastAsia"/>
        </w:rPr>
        <w:t>bb)</w:t>
      </w:r>
      <w:r>
        <w:rPr>
          <w:rFonts w:eastAsiaTheme="majorEastAsia"/>
        </w:rPr>
        <w:tab/>
        <w:t>Keine Auslegung des § 31a Abs. 1 S. 1 BRAO (i.d.F. des Gesetzes zur Fö</w:t>
      </w:r>
      <w:r>
        <w:rPr>
          <w:rFonts w:eastAsiaTheme="majorEastAsia"/>
        </w:rPr>
        <w:t>r</w:t>
      </w:r>
      <w:r>
        <w:rPr>
          <w:rFonts w:eastAsiaTheme="majorEastAsia"/>
        </w:rPr>
        <w:t>derung des elektronischen Rechtsverkehrs mit den Gerichten) i.S.d. BRAK</w:t>
      </w:r>
    </w:p>
    <w:p w:rsidR="00713C4C" w:rsidRDefault="00CF5E23">
      <w:pPr>
        <w:pStyle w:val="Text-2"/>
      </w:pPr>
      <w:r>
        <w:t>§ 31a Abs. 1 S. 1 BRAO (i.d.F. des Gesetzes zur Förderung des elektronischen Rechtsverkehrs mit den Gerichten) kann nicht so ausgelegt werden, dass alle beA ab dem 01.01.2016 elektronische Nachrichten empfangen können, auch wenn der jeweilige Rechtsanwalt die Erstregistrierung nicht durchgeführt hat.</w:t>
      </w:r>
    </w:p>
    <w:p w:rsidR="00713C4C" w:rsidRDefault="00CF5E23">
      <w:pPr>
        <w:pStyle w:val="Text-2"/>
      </w:pPr>
      <w:r>
        <w:t>§ 31a Abs. 1 S. 1 BRAO (i.d.F. des Gesetzes zur Förderung des elektronischen Rechtsverkehrs mit den Gerichten) ist die zentrale und einzige Vorschrift, die der BRAK das Recht einräumt und zugleich die Pflicht auferlegt, ein beA (bei Vorliegen der Tatbestandsvoraussetzungen) für jeden Rechtsanwalt einzuric</w:t>
      </w:r>
      <w:r>
        <w:t>h</w:t>
      </w:r>
      <w:r>
        <w:lastRenderedPageBreak/>
        <w:t>ten. Die Vorschrift enthält keine zweifelsfreie Formulierung, dass das beA als „empfangsbereit“ eingerichtet werden soll. Es ist somit nicht klar, ob und i</w:t>
      </w:r>
      <w:r>
        <w:t>n</w:t>
      </w:r>
      <w:r>
        <w:t>wieweit es der Wille des Gesetzgebers war, dass das beA als „empfangsbereit“ eingerichtet werden soll. Der Wille des Gesetzgebers ist daher durch Auslegung zu ermitteln. Hierzu kommen die herkömmlichen Auslegungsmethoden zum Einsatz (vgl. BVerfGE 82, 6, 11; 93, 37, 81; 105, 135, 157) und zwar</w:t>
      </w:r>
    </w:p>
    <w:p w:rsidR="00713C4C" w:rsidRDefault="00CF5E23">
      <w:pPr>
        <w:pStyle w:val="Aufzhlung-2"/>
        <w:spacing w:after="120"/>
      </w:pPr>
      <w:r>
        <w:t>-</w:t>
      </w:r>
      <w:r>
        <w:tab/>
        <w:t>aus dem Wortlaut der Norm (grammatische Auslegung) (hierzu unter (1)),</w:t>
      </w:r>
    </w:p>
    <w:p w:rsidR="00713C4C" w:rsidRDefault="00CF5E23">
      <w:pPr>
        <w:pStyle w:val="Aufzhlung-2"/>
        <w:spacing w:after="120"/>
      </w:pPr>
      <w:r>
        <w:t>-</w:t>
      </w:r>
      <w:r>
        <w:tab/>
        <w:t>aus ihrem Zusammenhang (systematische Auslegung) (hierzu unter (2)),</w:t>
      </w:r>
    </w:p>
    <w:p w:rsidR="00713C4C" w:rsidRDefault="00CF5E23">
      <w:pPr>
        <w:pStyle w:val="Aufzhlung-2"/>
        <w:spacing w:after="120"/>
      </w:pPr>
      <w:r>
        <w:t>-</w:t>
      </w:r>
      <w:r>
        <w:tab/>
        <w:t>aus den Gesetzesmaterialien und ihrer Entstehungsgeschichte (historische Auslegung) (hierzu unter (3)) sowie</w:t>
      </w:r>
    </w:p>
    <w:p w:rsidR="00713C4C" w:rsidRDefault="00CF5E23">
      <w:pPr>
        <w:pStyle w:val="Aufzhlung-2"/>
      </w:pPr>
      <w:r>
        <w:t>-</w:t>
      </w:r>
      <w:r>
        <w:tab/>
        <w:t>aus ihrem Sinn und Zweck (teleologische Auslegung) (hierzu unter (4)).</w:t>
      </w:r>
    </w:p>
    <w:p w:rsidR="00713C4C" w:rsidRDefault="00CF5E23">
      <w:pPr>
        <w:pStyle w:val="berschrift5"/>
        <w:rPr>
          <w:rFonts w:eastAsiaTheme="majorEastAsia"/>
        </w:rPr>
      </w:pPr>
      <w:r>
        <w:rPr>
          <w:rFonts w:eastAsiaTheme="majorEastAsia"/>
        </w:rPr>
        <w:t>(1)</w:t>
      </w:r>
      <w:r>
        <w:rPr>
          <w:rFonts w:eastAsiaTheme="majorEastAsia"/>
        </w:rPr>
        <w:tab/>
        <w:t>Grammatische Auslegung</w:t>
      </w:r>
    </w:p>
    <w:p w:rsidR="00713C4C" w:rsidRDefault="00CF5E23">
      <w:pPr>
        <w:pStyle w:val="Text-2"/>
      </w:pPr>
      <w:r>
        <w:t>Die grammatische Auslegung des § 31a Abs. 1 S. 1 BRAO (i.d.F. des Gesetzes zur Förderung des elektronischen Rechtsverkehrs mit den Gerichten), insbeso</w:t>
      </w:r>
      <w:r>
        <w:t>n</w:t>
      </w:r>
      <w:r>
        <w:t>dere des Wortes „einrichten“ unter Heranziehung des IT-technischen Sprachve</w:t>
      </w:r>
      <w:r>
        <w:t>r</w:t>
      </w:r>
      <w:r>
        <w:t>ständnisses spricht dafür, dass alle beA ab dem 01.01.2016 elektronische Nac</w:t>
      </w:r>
      <w:r>
        <w:t>h</w:t>
      </w:r>
      <w:r>
        <w:t>richten empfangen können, auch wenn der jeweilige Rechtsanwalt die Erstr</w:t>
      </w:r>
      <w:r>
        <w:t>e</w:t>
      </w:r>
      <w:r>
        <w:t>gistrierung nicht durchgeführt hat.</w:t>
      </w:r>
    </w:p>
    <w:p w:rsidR="00713C4C" w:rsidRDefault="00CF5E23">
      <w:pPr>
        <w:pStyle w:val="Text-2"/>
      </w:pPr>
      <w:r>
        <w:t>Nach grammatischer Auslegung sind Rechtssätze so zu verstehen, wie es sich nach den Regeln des allgemeinen oder des juristisch-technischen Sprachg</w:t>
      </w:r>
      <w:r>
        <w:t>e</w:t>
      </w:r>
      <w:r>
        <w:t>brauchs und der Grammatik ergibt (vgl. Staudinger-Coing/Honsell, BGB, Ne</w:t>
      </w:r>
      <w:r>
        <w:t>u</w:t>
      </w:r>
      <w:r>
        <w:t>bearbeitung 2004, Berlin, Einl. zum BGB Rdnr. 139).</w:t>
      </w:r>
    </w:p>
    <w:p w:rsidR="00713C4C" w:rsidRDefault="00CF5E23">
      <w:pPr>
        <w:pStyle w:val="Text-2"/>
      </w:pPr>
      <w:r>
        <w:t>Einen juristisch-technischer Sprachgebrauch im Sinne einer gesetzlichen Festl</w:t>
      </w:r>
      <w:r>
        <w:t>e</w:t>
      </w:r>
      <w:r>
        <w:t>gung oder Definition enthält weder § 31a Abs. 1 S. 1 BRAO (i.d.F. des Gesetzes zur Förderung des elektronischen Rechtsverkehrs mit den Gerichten) noch das Gesetz zur Förderung des elektronischen Rechtsverkehrs mit den Gerichten, so dass es allein auf den allgemeinen Sprachgebrauch ankommt.</w:t>
      </w:r>
    </w:p>
    <w:p w:rsidR="00713C4C" w:rsidRDefault="00CF5E23">
      <w:pPr>
        <w:pStyle w:val="Text-2"/>
      </w:pPr>
      <w:r>
        <w:lastRenderedPageBreak/>
        <w:t>Nach der Definition im Duden ist unter dem Wort „einrichten“ das Vorbereiten, die Ausstattung mit etwas, zu einer Nutzung schaffen zu verstehen (Quelle: www.duden.de/rechtschreibung/einrichten). Allen Bedeutungen ist gemein, dass sie zu einer Nutzung geschaffen werden. Es ist allerdings nicht zwingend, dass mit der Einrichtung auch gleichzeitig die unmittelbare Möglichkeit einer b</w:t>
      </w:r>
      <w:r>
        <w:t>e</w:t>
      </w:r>
      <w:r>
        <w:t>stimmten Art von Nutzung verbunden ist. Eine öffentliche Einrichtung kann ein Benutzer in der Regel erst dann nutzen, wenn er eine Nutzungsgebühr bezahlt hat.</w:t>
      </w:r>
    </w:p>
    <w:p w:rsidR="00713C4C" w:rsidRDefault="00CF5E23">
      <w:pPr>
        <w:pStyle w:val="Text-2"/>
      </w:pPr>
      <w:r>
        <w:t>Im Bereich der Informationstechnologien und insbesondere bei der Zurverf</w:t>
      </w:r>
      <w:r>
        <w:t>ü</w:t>
      </w:r>
      <w:r>
        <w:t>gungstellung von E-Mail-Accounts und E-Mail-Postfächern ist der Begriff der „Einrichtung“ allerdings weiter zu verstehen. In der Regel werden E-Mail-Post</w:t>
      </w:r>
      <w:r>
        <w:softHyphen/>
        <w:t>fä</w:t>
      </w:r>
      <w:r>
        <w:softHyphen/>
        <w:t>cher technisch so eingerichtet, dass sie sofort elektronische Nachrichten em</w:t>
      </w:r>
      <w:r>
        <w:t>p</w:t>
      </w:r>
      <w:r>
        <w:t>fangen können, selbst wenn der Nutzer das Konto über einen Code oder einen Aktivierungslink noch nicht freigeschaltet hat.</w:t>
      </w:r>
    </w:p>
    <w:p w:rsidR="00713C4C" w:rsidRDefault="00CF5E23">
      <w:pPr>
        <w:pStyle w:val="Text-2"/>
      </w:pPr>
      <w:r>
        <w:t>Im Hinblick auf die IT-nahe Problematik des § 31a Abs. 1 S. 1 BRAO (i.d.F. des Gesetzes zur Förderung des elektronischen Rechtsverkehrs mit den Geric</w:t>
      </w:r>
      <w:r>
        <w:t>h</w:t>
      </w:r>
      <w:r>
        <w:t>ten) erscheint es sachgerecht, den allgemeinen Sprachgebrauch auf die IT-Fachsprache und das Verständnis von IT-Fachleuten auszudehnen. Nach diesem (erweiterten) allgemeinen Sprachgebrauch umfasst der Begriff des „Einrichtens“ auch die Möglichkeit einer sofortigen Nutzung und damit des Empfangs von elektronischen Nachrichten.</w:t>
      </w:r>
    </w:p>
    <w:p w:rsidR="00713C4C" w:rsidRDefault="00CF5E23">
      <w:pPr>
        <w:pStyle w:val="berschrift5"/>
        <w:rPr>
          <w:rFonts w:eastAsiaTheme="majorEastAsia"/>
        </w:rPr>
      </w:pPr>
      <w:r>
        <w:rPr>
          <w:rFonts w:eastAsiaTheme="majorEastAsia"/>
        </w:rPr>
        <w:t>(2)</w:t>
      </w:r>
      <w:r>
        <w:rPr>
          <w:rFonts w:eastAsiaTheme="majorEastAsia"/>
        </w:rPr>
        <w:tab/>
        <w:t>Systematische Auslegung</w:t>
      </w:r>
    </w:p>
    <w:p w:rsidR="00713C4C" w:rsidRDefault="00CF5E23">
      <w:pPr>
        <w:pStyle w:val="Text-2"/>
      </w:pPr>
      <w:r>
        <w:t>Die systematische Auslegung des § 31a Abs. 1 S. 1 BRAO (i.d.F. des Gesetzes zur Förderung des elektronischen Rechtsverkehrs mit den Gerichten), insbeso</w:t>
      </w:r>
      <w:r>
        <w:t>n</w:t>
      </w:r>
      <w:r>
        <w:t xml:space="preserve">dere des Wortes „einrichten“ spricht </w:t>
      </w:r>
      <w:r>
        <w:rPr>
          <w:b/>
        </w:rPr>
        <w:t>dagegen</w:t>
      </w:r>
      <w:r>
        <w:t>, dass alle beA ab dem 01.01.2016 elektronische Nachrichten empfangen können, auch wenn der jeweilige Recht</w:t>
      </w:r>
      <w:r>
        <w:t>s</w:t>
      </w:r>
      <w:r>
        <w:t>anwalt die Erstregistrierung nicht durchgeführt hat.</w:t>
      </w:r>
    </w:p>
    <w:p w:rsidR="00713C4C" w:rsidRDefault="00CF5E23">
      <w:pPr>
        <w:pStyle w:val="Text-2"/>
      </w:pPr>
      <w:r>
        <w:lastRenderedPageBreak/>
        <w:t>Die systematische Auslegung verlangt, dass einzelne Rechtssätze, die in einem Zusammenhang stehen, so auszulegen sind, dass sie logisch miteinander verei</w:t>
      </w:r>
      <w:r>
        <w:t>n</w:t>
      </w:r>
      <w:r>
        <w:t>bar sind (BVerfGE 48, 246, 257; 124, 25, 40). § 31a Abs. 1 S. 1 BRAO (i.d.F. des Gesetzes zur Förderung des elektronischen Rechtsverkehrs mit den Geric</w:t>
      </w:r>
      <w:r>
        <w:t>h</w:t>
      </w:r>
      <w:r>
        <w:t>ten) erfüllt keinen Selbstzweck. Vielmehr stellt das beA einen der vier mögl</w:t>
      </w:r>
      <w:r>
        <w:t>i</w:t>
      </w:r>
      <w:r>
        <w:t>chen sicheren Übermittlungswege gemäß § 130a Abs. 4 ZPO n.F. dar. Insofern muss die Regelung des § 31a Abs. 1 S. 1 BRAO (i.d.F. des Gesetzes zur Förd</w:t>
      </w:r>
      <w:r>
        <w:t>e</w:t>
      </w:r>
      <w:r>
        <w:t>rung des elektronischen Rechtsverkehrs mit den Gerichten) mit den übrigen Vorschriften des Gesetzes zur Förderung des elektronischen Rechtsverkehrs mit den Gerichten logisch vereinbar sein (hierzu unter (aa)). Des Weiteren ist auch zu berücksichtigen, in welchem logischen Zusammenhang § 31a Abs. 1 S. 1 BRAO (i.d.F. des Gesetzes zur Förderung des elektronischen Rechtsverkehrs mit den Gerichten) mit den übrigen Vorschriften der BRAO steht (hierzu unter (bb)).</w:t>
      </w:r>
    </w:p>
    <w:p w:rsidR="00713C4C" w:rsidRDefault="00CF5E23">
      <w:pPr>
        <w:pStyle w:val="berschrift6"/>
        <w:rPr>
          <w:rFonts w:eastAsiaTheme="majorEastAsia"/>
        </w:rPr>
      </w:pPr>
      <w:r>
        <w:rPr>
          <w:rFonts w:eastAsiaTheme="majorEastAsia"/>
        </w:rPr>
        <w:t>(aa)</w:t>
      </w:r>
      <w:r>
        <w:rPr>
          <w:rFonts w:eastAsiaTheme="majorEastAsia"/>
        </w:rPr>
        <w:tab/>
        <w:t>Verhältnis zu den anderen Vorschriften des Gesetzes zur Förderung des elektronischen Rechtsverkehrs mit den Gerichten</w:t>
      </w:r>
    </w:p>
    <w:p w:rsidR="00713C4C" w:rsidRDefault="00CF5E23">
      <w:pPr>
        <w:pStyle w:val="Text-2"/>
      </w:pPr>
      <w:r>
        <w:t>Das Gesetz zur Förderung des elektronischen Rechtsverkehrs mit den Gerichten vom 10. Oktober 2013 (BGBl. I S. 3786) enthält Änderungen vor allem der ZPO sowie der BRAO. Die Änderung der weiteren Verfahrensordnungen sowie zah</w:t>
      </w:r>
      <w:r>
        <w:t>l</w:t>
      </w:r>
      <w:r>
        <w:t>reicher weiterer Gesetze sind für diese Stellungnahme nicht von Belang. Die wesentlichen, die Anwaltschaft betreffenden Vorschriften sind</w:t>
      </w:r>
    </w:p>
    <w:p w:rsidR="00713C4C" w:rsidRDefault="00CF5E23">
      <w:pPr>
        <w:pStyle w:val="Aufzhlung-2"/>
        <w:spacing w:after="120"/>
      </w:pPr>
      <w:r>
        <w:t>-</w:t>
      </w:r>
      <w:r>
        <w:tab/>
        <w:t>§ 130a ZPO n.F. Elektronisches Dokument,</w:t>
      </w:r>
    </w:p>
    <w:p w:rsidR="00713C4C" w:rsidRDefault="00CF5E23">
      <w:pPr>
        <w:pStyle w:val="Aufzhlung-2"/>
        <w:spacing w:after="120"/>
      </w:pPr>
      <w:r>
        <w:t>-</w:t>
      </w:r>
      <w:r>
        <w:tab/>
        <w:t>§ 130d ZPO n.F. Nutzungspflicht für Rechtsanwälte,</w:t>
      </w:r>
    </w:p>
    <w:p w:rsidR="00713C4C" w:rsidRDefault="00CF5E23">
      <w:pPr>
        <w:pStyle w:val="Aufzhlung-2"/>
        <w:spacing w:after="120"/>
      </w:pPr>
      <w:r>
        <w:t>-</w:t>
      </w:r>
      <w:r>
        <w:tab/>
        <w:t>§ 174 ZPO n.F. Zustellung gegen Empfangsbekenntnis oder automatisierte Eingangsbestätigung,</w:t>
      </w:r>
    </w:p>
    <w:p w:rsidR="00713C4C" w:rsidRDefault="00CF5E23">
      <w:pPr>
        <w:pStyle w:val="Aufzhlung-2"/>
        <w:spacing w:after="120"/>
      </w:pPr>
      <w:r>
        <w:t>-</w:t>
      </w:r>
      <w:r>
        <w:tab/>
        <w:t>§ 195 ZPO n.F. Zustellung von Anwalt zu Anwalt,</w:t>
      </w:r>
    </w:p>
    <w:p w:rsidR="00713C4C" w:rsidRDefault="00CF5E23">
      <w:pPr>
        <w:pStyle w:val="Aufzhlung-2"/>
        <w:spacing w:after="120"/>
      </w:pPr>
      <w:r>
        <w:t>-</w:t>
      </w:r>
      <w:r>
        <w:tab/>
        <w:t xml:space="preserve">§ 31a BRAO n.F. Besonderes elektronisches Anwaltspostfach </w:t>
      </w:r>
    </w:p>
    <w:p w:rsidR="00713C4C" w:rsidRDefault="00CF5E23">
      <w:pPr>
        <w:pStyle w:val="Aufzhlung-2"/>
        <w:spacing w:after="120"/>
      </w:pPr>
      <w:r>
        <w:t>-</w:t>
      </w:r>
      <w:r>
        <w:tab/>
        <w:t>§ 31b BRAO n.F. Verordnungsermächtigung und</w:t>
      </w:r>
    </w:p>
    <w:p w:rsidR="00713C4C" w:rsidRDefault="00CF5E23">
      <w:pPr>
        <w:pStyle w:val="Aufzhlung-2"/>
      </w:pPr>
      <w:r>
        <w:lastRenderedPageBreak/>
        <w:t>-</w:t>
      </w:r>
      <w:r>
        <w:tab/>
        <w:t>Artikel 26 des Gesetzes zur Förderung des elektronischen Rechtsverkehrs mit den Gerichten Inkrafttreten, Außerkrafttreten.</w:t>
      </w:r>
    </w:p>
    <w:p w:rsidR="00713C4C" w:rsidRDefault="00CF5E23">
      <w:pPr>
        <w:pStyle w:val="Text-2"/>
      </w:pPr>
      <w:r>
        <w:t>Für das systematische Verständnis des Gesetzes zur Förderung des elektron</w:t>
      </w:r>
      <w:r>
        <w:t>i</w:t>
      </w:r>
      <w:r>
        <w:t>schen Rechtsverkehrs mit den Gerichten ist es erforderlich, die nachfolgenden Vorschriften jedenfalls ihrem wesentlichen Regelungsgehalt nach wie folgt zu erläutern:</w:t>
      </w:r>
    </w:p>
    <w:p w:rsidR="00713C4C" w:rsidRDefault="00CF5E23">
      <w:pPr>
        <w:pStyle w:val="Aufzhlung-2"/>
      </w:pPr>
      <w:r>
        <w:t>-</w:t>
      </w:r>
      <w:r>
        <w:tab/>
        <w:t>§ 130a ZPO n.F. Elektronisches Dokument</w:t>
      </w:r>
    </w:p>
    <w:p w:rsidR="00713C4C" w:rsidRDefault="00CF5E23">
      <w:pPr>
        <w:overflowPunct w:val="0"/>
        <w:autoSpaceDE w:val="0"/>
        <w:autoSpaceDN w:val="0"/>
        <w:adjustRightInd w:val="0"/>
        <w:ind w:left="1134"/>
        <w:textAlignment w:val="baseline"/>
        <w:rPr>
          <w:rFonts w:eastAsia="Times New Roman"/>
          <w:szCs w:val="20"/>
          <w:lang w:eastAsia="de-DE"/>
        </w:rPr>
      </w:pPr>
      <w:r>
        <w:rPr>
          <w:rFonts w:eastAsia="Times New Roman"/>
          <w:szCs w:val="20"/>
          <w:lang w:eastAsia="de-DE"/>
        </w:rPr>
        <w:t>§ 130a Abs. 1 ZPO n.F. ordnet an, dass vor allem Schriftsätze in einem Verfahren als elektronisches Dokument eingereicht werden können. § 130a Abs. 3 ZPO n.F. ordnet an, in welcher Form und wie elektronische Dokumente bei Gericht einzureichen sind. Gemäß § 130a Abs. 3 Alt. 1 ZPO n.F. mit einer qualifizierten elektronischen Signatur versehen (una</w:t>
      </w:r>
      <w:r>
        <w:rPr>
          <w:rFonts w:eastAsia="Times New Roman"/>
          <w:szCs w:val="20"/>
          <w:lang w:eastAsia="de-DE"/>
        </w:rPr>
        <w:t>b</w:t>
      </w:r>
      <w:r>
        <w:rPr>
          <w:rFonts w:eastAsia="Times New Roman"/>
          <w:szCs w:val="20"/>
          <w:lang w:eastAsia="de-DE"/>
        </w:rPr>
        <w:t xml:space="preserve">hängig vom Übermittlungsweg oder </w:t>
      </w:r>
      <w:r>
        <w:rPr>
          <w:rFonts w:eastAsia="Times New Roman"/>
          <w:szCs w:val="20"/>
          <w:lang w:eastAsia="de-DE"/>
        </w:rPr>
        <w:noBreakHyphen/>
        <w:t>medium). Gemäß § 130a Abs. 3 Alt. 1 ZPO n.F. einfach signiert und auf einem sicheren Übermittlungsweg gemäß § 130a Abs. 4 ZPO n.F. eingereicht.</w:t>
      </w:r>
    </w:p>
    <w:p w:rsidR="00713C4C" w:rsidRDefault="00CF5E23">
      <w:pPr>
        <w:overflowPunct w:val="0"/>
        <w:autoSpaceDE w:val="0"/>
        <w:autoSpaceDN w:val="0"/>
        <w:adjustRightInd w:val="0"/>
        <w:ind w:left="1134"/>
        <w:textAlignment w:val="baseline"/>
        <w:rPr>
          <w:rFonts w:eastAsia="Times New Roman"/>
          <w:szCs w:val="20"/>
          <w:lang w:eastAsia="de-DE"/>
        </w:rPr>
      </w:pPr>
      <w:r>
        <w:rPr>
          <w:rFonts w:eastAsia="Times New Roman"/>
          <w:szCs w:val="20"/>
          <w:lang w:eastAsia="de-DE"/>
        </w:rPr>
        <w:t>§ 130a Abs. 4 ZPO n.F. nennt als sichere Übermittlungswege unter and</w:t>
      </w:r>
      <w:r>
        <w:rPr>
          <w:rFonts w:eastAsia="Times New Roman"/>
          <w:szCs w:val="20"/>
          <w:lang w:eastAsia="de-DE"/>
        </w:rPr>
        <w:t>e</w:t>
      </w:r>
      <w:r>
        <w:rPr>
          <w:rFonts w:eastAsia="Times New Roman"/>
          <w:szCs w:val="20"/>
          <w:lang w:eastAsia="de-DE"/>
        </w:rPr>
        <w:t>rem den De-Mail-Dienst oder das beA.</w:t>
      </w:r>
    </w:p>
    <w:p w:rsidR="00713C4C" w:rsidRDefault="00CF5E23">
      <w:pPr>
        <w:overflowPunct w:val="0"/>
        <w:autoSpaceDE w:val="0"/>
        <w:autoSpaceDN w:val="0"/>
        <w:adjustRightInd w:val="0"/>
        <w:ind w:left="1134"/>
        <w:textAlignment w:val="baseline"/>
        <w:rPr>
          <w:rFonts w:eastAsia="Times New Roman"/>
          <w:szCs w:val="20"/>
          <w:lang w:eastAsia="de-DE"/>
        </w:rPr>
      </w:pPr>
      <w:r>
        <w:rPr>
          <w:rFonts w:eastAsia="Times New Roman"/>
          <w:szCs w:val="20"/>
          <w:lang w:eastAsia="de-DE"/>
        </w:rPr>
        <w:t xml:space="preserve">§ 130a ZPO n.F. schränkt den Rechtsanwalt in der Wahl der sicheren Übermittlungswege nicht ein. Der Versand von </w:t>
      </w:r>
      <w:r>
        <w:t xml:space="preserve">elektronischen </w:t>
      </w:r>
      <w:r>
        <w:rPr>
          <w:rFonts w:eastAsia="Times New Roman"/>
          <w:szCs w:val="20"/>
          <w:lang w:eastAsia="de-DE"/>
        </w:rPr>
        <w:t>Nachric</w:t>
      </w:r>
      <w:r>
        <w:rPr>
          <w:rFonts w:eastAsia="Times New Roman"/>
          <w:szCs w:val="20"/>
          <w:lang w:eastAsia="de-DE"/>
        </w:rPr>
        <w:t>h</w:t>
      </w:r>
      <w:r>
        <w:rPr>
          <w:rFonts w:eastAsia="Times New Roman"/>
          <w:szCs w:val="20"/>
          <w:lang w:eastAsia="de-DE"/>
        </w:rPr>
        <w:t>ten über den De-Mail-Dienst oder über das beA stehen als gleichwertige und gleichberechtigte Alternativen nebeneinander und dem Rechtsanwalt zur Verfügung.</w:t>
      </w:r>
    </w:p>
    <w:p w:rsidR="00713C4C" w:rsidRDefault="00CF5E23">
      <w:pPr>
        <w:overflowPunct w:val="0"/>
        <w:autoSpaceDE w:val="0"/>
        <w:autoSpaceDN w:val="0"/>
        <w:adjustRightInd w:val="0"/>
        <w:ind w:left="1134"/>
        <w:textAlignment w:val="baseline"/>
        <w:rPr>
          <w:rFonts w:eastAsia="Times New Roman"/>
          <w:szCs w:val="20"/>
          <w:lang w:eastAsia="de-DE"/>
        </w:rPr>
      </w:pPr>
      <w:r>
        <w:rPr>
          <w:rFonts w:eastAsia="Times New Roman"/>
          <w:szCs w:val="20"/>
          <w:lang w:eastAsia="de-DE"/>
        </w:rPr>
        <w:t>Gemäß Art. 26 Abs. 1 des Gesetzes zur Förderung des elektronischen Rechtsverkehrs mit den Gerichten tritt § 130a ZPO n.F. frühestens am 01.01.2018 in Kraft.</w:t>
      </w:r>
    </w:p>
    <w:p w:rsidR="00713C4C" w:rsidRDefault="00CF5E23">
      <w:pPr>
        <w:pStyle w:val="Aufzhlung-2"/>
      </w:pPr>
      <w:r>
        <w:t>-</w:t>
      </w:r>
      <w:r>
        <w:tab/>
        <w:t>§ 130d ZPO n.F. Nutzungspflicht für Rechtsanwälte</w:t>
      </w:r>
    </w:p>
    <w:p w:rsidR="00713C4C" w:rsidRDefault="00CF5E23">
      <w:pPr>
        <w:overflowPunct w:val="0"/>
        <w:autoSpaceDE w:val="0"/>
        <w:autoSpaceDN w:val="0"/>
        <w:adjustRightInd w:val="0"/>
        <w:ind w:left="1134"/>
        <w:textAlignment w:val="baseline"/>
        <w:rPr>
          <w:rFonts w:eastAsia="Times New Roman"/>
          <w:szCs w:val="20"/>
          <w:lang w:eastAsia="de-DE"/>
        </w:rPr>
      </w:pPr>
      <w:r>
        <w:rPr>
          <w:rFonts w:eastAsia="Times New Roman"/>
          <w:szCs w:val="20"/>
          <w:lang w:eastAsia="de-DE"/>
        </w:rPr>
        <w:lastRenderedPageBreak/>
        <w:t>§ 130d ZPO n.F. ordnet an, dass vorbereitende Schriftsätze und deren A</w:t>
      </w:r>
      <w:r>
        <w:rPr>
          <w:rFonts w:eastAsia="Times New Roman"/>
          <w:szCs w:val="20"/>
          <w:lang w:eastAsia="de-DE"/>
        </w:rPr>
        <w:t>n</w:t>
      </w:r>
      <w:r>
        <w:rPr>
          <w:rFonts w:eastAsia="Times New Roman"/>
          <w:szCs w:val="20"/>
          <w:lang w:eastAsia="de-DE"/>
        </w:rPr>
        <w:t>lagen sowie schriftlich einzureichende Anträge und Erklärungen, die durch einen Rechtsanwalt eingereicht werden, als elektronisches Dok</w:t>
      </w:r>
      <w:r>
        <w:rPr>
          <w:rFonts w:eastAsia="Times New Roman"/>
          <w:szCs w:val="20"/>
          <w:lang w:eastAsia="de-DE"/>
        </w:rPr>
        <w:t>u</w:t>
      </w:r>
      <w:r>
        <w:rPr>
          <w:rFonts w:eastAsia="Times New Roman"/>
          <w:szCs w:val="20"/>
          <w:lang w:eastAsia="de-DE"/>
        </w:rPr>
        <w:t>ment zu übermitteln sind. § 130d ZPO n.F. verpflichtet somit die Recht</w:t>
      </w:r>
      <w:r>
        <w:rPr>
          <w:rFonts w:eastAsia="Times New Roman"/>
          <w:szCs w:val="20"/>
          <w:lang w:eastAsia="de-DE"/>
        </w:rPr>
        <w:t>s</w:t>
      </w:r>
      <w:r>
        <w:rPr>
          <w:rFonts w:eastAsia="Times New Roman"/>
          <w:szCs w:val="20"/>
          <w:lang w:eastAsia="de-DE"/>
        </w:rPr>
        <w:t>anwälte dazu, Prozesserklärungen ausschließlich als elektronische Dok</w:t>
      </w:r>
      <w:r>
        <w:rPr>
          <w:rFonts w:eastAsia="Times New Roman"/>
          <w:szCs w:val="20"/>
          <w:lang w:eastAsia="de-DE"/>
        </w:rPr>
        <w:t>u</w:t>
      </w:r>
      <w:r>
        <w:rPr>
          <w:rFonts w:eastAsia="Times New Roman"/>
          <w:szCs w:val="20"/>
          <w:lang w:eastAsia="de-DE"/>
        </w:rPr>
        <w:t>mente bei Gericht einzureichen.</w:t>
      </w:r>
    </w:p>
    <w:p w:rsidR="00713C4C" w:rsidRDefault="00CF5E23">
      <w:pPr>
        <w:overflowPunct w:val="0"/>
        <w:autoSpaceDE w:val="0"/>
        <w:autoSpaceDN w:val="0"/>
        <w:adjustRightInd w:val="0"/>
        <w:ind w:left="1134"/>
        <w:textAlignment w:val="baseline"/>
        <w:rPr>
          <w:rFonts w:eastAsia="Times New Roman"/>
          <w:szCs w:val="20"/>
          <w:lang w:eastAsia="de-DE"/>
        </w:rPr>
      </w:pPr>
      <w:r>
        <w:rPr>
          <w:rFonts w:eastAsia="Times New Roman"/>
          <w:szCs w:val="20"/>
          <w:lang w:eastAsia="de-DE"/>
        </w:rPr>
        <w:t>Gemäß Art. 26 Abs. 7 des Gesetzes zur Förderung des elektronischen Rechtsverkehrs mit den Gerichten tritt § 130a ZPO n.F. spätestens am 01.01.2022 in Kraft.</w:t>
      </w:r>
    </w:p>
    <w:p w:rsidR="00713C4C" w:rsidRDefault="00CF5E23">
      <w:pPr>
        <w:pStyle w:val="Aufzhlung-2"/>
      </w:pPr>
      <w:r>
        <w:t>-</w:t>
      </w:r>
      <w:r>
        <w:tab/>
        <w:t>§ 174 ZPO n.F. Zustellung gegen Empfangsbekenntnis oder automatisierte Eingangsbestätigung</w:t>
      </w:r>
    </w:p>
    <w:p w:rsidR="00713C4C" w:rsidRDefault="00CF5E23">
      <w:pPr>
        <w:overflowPunct w:val="0"/>
        <w:autoSpaceDE w:val="0"/>
        <w:autoSpaceDN w:val="0"/>
        <w:adjustRightInd w:val="0"/>
        <w:ind w:left="1134"/>
        <w:textAlignment w:val="baseline"/>
        <w:rPr>
          <w:rFonts w:eastAsia="Times New Roman"/>
          <w:szCs w:val="20"/>
          <w:lang w:eastAsia="de-DE"/>
        </w:rPr>
      </w:pPr>
      <w:r>
        <w:rPr>
          <w:rFonts w:eastAsia="Times New Roman"/>
          <w:szCs w:val="20"/>
          <w:lang w:eastAsia="de-DE"/>
        </w:rPr>
        <w:t>§ 174 Abs. 3 S. 3 ZPO n.F. ordnet an, dass die Gerichte Schriftsätze an die Prozessbevollmächtigten künftig als elektronische Dokumente auf einem sicheren Übermittlungsweg gemäß § 130a Abs. 4 ZPO n.F. übermitteln können. § 174 Abs. 3 S. 4 ZPO n.F. ordnet an, dass (auch) Rechtsanwälte für die Zustellung von Schriftstücken durch das Gericht einen sicheren Übermittlungsweg gemäß § 130a Abs. 4 ZPO n.F. zu eröffnen haben. Die Rechtsanwälte müssen somit entweder den De-Mail-Dienst oder das beA benutzen.</w:t>
      </w:r>
    </w:p>
    <w:p w:rsidR="00713C4C" w:rsidRDefault="00CF5E23">
      <w:pPr>
        <w:overflowPunct w:val="0"/>
        <w:autoSpaceDE w:val="0"/>
        <w:autoSpaceDN w:val="0"/>
        <w:adjustRightInd w:val="0"/>
        <w:ind w:left="1134"/>
        <w:textAlignment w:val="baseline"/>
        <w:rPr>
          <w:rFonts w:eastAsia="Times New Roman"/>
          <w:szCs w:val="20"/>
          <w:lang w:eastAsia="de-DE"/>
        </w:rPr>
      </w:pPr>
      <w:r>
        <w:rPr>
          <w:rFonts w:eastAsia="Times New Roman"/>
          <w:szCs w:val="20"/>
          <w:lang w:eastAsia="de-DE"/>
        </w:rPr>
        <w:t>Gemäß Art. 26 Abs. 1 des Gesetzes zur Förderung des elektronischen Rechtsverkehrs mit den Gerichten tritt § 130a ZPO n.F. frühestens am 01.01.2018 in Kraft.</w:t>
      </w:r>
    </w:p>
    <w:p w:rsidR="00713C4C" w:rsidRDefault="00CF5E23">
      <w:pPr>
        <w:pStyle w:val="Aufzhlung-2"/>
      </w:pPr>
      <w:r>
        <w:t>-</w:t>
      </w:r>
      <w:r>
        <w:tab/>
        <w:t>§ 195 ZPO n.F. Zustellung von Anwalt zu Anwalt</w:t>
      </w:r>
    </w:p>
    <w:p w:rsidR="00713C4C" w:rsidRDefault="00CF5E23">
      <w:pPr>
        <w:overflowPunct w:val="0"/>
        <w:autoSpaceDE w:val="0"/>
        <w:autoSpaceDN w:val="0"/>
        <w:adjustRightInd w:val="0"/>
        <w:ind w:left="1134"/>
        <w:textAlignment w:val="baseline"/>
        <w:rPr>
          <w:rFonts w:eastAsia="Times New Roman"/>
          <w:szCs w:val="20"/>
          <w:lang w:eastAsia="de-DE"/>
        </w:rPr>
      </w:pPr>
      <w:r>
        <w:rPr>
          <w:rFonts w:eastAsia="Times New Roman"/>
          <w:szCs w:val="20"/>
          <w:lang w:eastAsia="de-DE"/>
        </w:rPr>
        <w:t>Die Regelung des § 195 ZPO n.F. verweist lediglich auf die Regelungen des § 174 ZPO n.F., so dass sich inhaltlich keine Unterschiede ergeben. Für die prozessuale Zustellung von Anwalt zu Anwalt müssen die Recht</w:t>
      </w:r>
      <w:r>
        <w:rPr>
          <w:rFonts w:eastAsia="Times New Roman"/>
          <w:szCs w:val="20"/>
          <w:lang w:eastAsia="de-DE"/>
        </w:rPr>
        <w:t>s</w:t>
      </w:r>
      <w:r>
        <w:rPr>
          <w:rFonts w:eastAsia="Times New Roman"/>
          <w:szCs w:val="20"/>
          <w:lang w:eastAsia="de-DE"/>
        </w:rPr>
        <w:t>anwälte somit entweder den De-Mail-Dienst oder das beA benutzen.</w:t>
      </w:r>
    </w:p>
    <w:p w:rsidR="00713C4C" w:rsidRDefault="00CF5E23">
      <w:pPr>
        <w:overflowPunct w:val="0"/>
        <w:autoSpaceDE w:val="0"/>
        <w:autoSpaceDN w:val="0"/>
        <w:adjustRightInd w:val="0"/>
        <w:ind w:left="1134"/>
        <w:textAlignment w:val="baseline"/>
        <w:rPr>
          <w:rFonts w:eastAsia="Times New Roman"/>
          <w:szCs w:val="20"/>
          <w:lang w:eastAsia="de-DE"/>
        </w:rPr>
      </w:pPr>
      <w:r>
        <w:rPr>
          <w:rFonts w:eastAsia="Times New Roman"/>
          <w:szCs w:val="20"/>
          <w:lang w:eastAsia="de-DE"/>
        </w:rPr>
        <w:lastRenderedPageBreak/>
        <w:t>Gemäß Art. 26 Abs. 1 des Gesetzes zur Förderung des elektronischen Rechtsverkehrs mit den Gerichten tritt § 130a ZPO n.F. frühestens am 01.01.2018 in Kraft.</w:t>
      </w:r>
    </w:p>
    <w:p w:rsidR="00713C4C" w:rsidRDefault="00CF5E23">
      <w:pPr>
        <w:pStyle w:val="Text-2"/>
      </w:pPr>
      <w:r>
        <w:t>Zusammengefasst ordnen die vorgenannten Vorschriften an, dass</w:t>
      </w:r>
    </w:p>
    <w:p w:rsidR="00713C4C" w:rsidRDefault="00CF5E23">
      <w:pPr>
        <w:pStyle w:val="Aufzhlung-2"/>
      </w:pPr>
      <w:r>
        <w:t>-</w:t>
      </w:r>
      <w:r>
        <w:tab/>
        <w:t xml:space="preserve">die Rechtsanwälte frühestens ab dem 01.01.2018 </w:t>
      </w:r>
      <w:r>
        <w:rPr>
          <w:b/>
        </w:rPr>
        <w:t>einen</w:t>
      </w:r>
      <w:r>
        <w:t xml:space="preserve"> sicheren Übermit</w:t>
      </w:r>
      <w:r>
        <w:t>t</w:t>
      </w:r>
      <w:r>
        <w:t>lungsweg (De-Mail-Dienst oder beA) gemäß § 130a Abs. 4 ZPO n.F. für den Empfang von Schriftsätzen durch das Gericht oder von Anwalt zu Anwalt eröffnet haben müssen und</w:t>
      </w:r>
    </w:p>
    <w:p w:rsidR="00713C4C" w:rsidRDefault="00CF5E23">
      <w:pPr>
        <w:pStyle w:val="Aufzhlung-2"/>
      </w:pPr>
      <w:r>
        <w:t>-</w:t>
      </w:r>
      <w:r>
        <w:tab/>
        <w:t>die Rechtsanwälte spätestens ab dem 01.01.2022 Prozesserklärungen als elektronisches Dokument (qualifiziert elektronisch signiert oder über den De-Mail-Dienst oder über das beA) bei Gericht einreichen müssen.</w:t>
      </w:r>
    </w:p>
    <w:p w:rsidR="00713C4C" w:rsidRDefault="00CF5E23">
      <w:pPr>
        <w:pStyle w:val="Text-2"/>
      </w:pPr>
      <w:r>
        <w:t>Es existieren keine weiteren Vorschriften, die einen Rechtsanwalt dazu ve</w:t>
      </w:r>
      <w:r>
        <w:t>r</w:t>
      </w:r>
      <w:r>
        <w:t>pflichten, mehrere, einen oder einen bestimmten der sicheren Übermittlungsweg gemäß § 130a Abs. 4 ZPO n.F. vor dem 01.01.2018 zum Empfang von gerich</w:t>
      </w:r>
      <w:r>
        <w:t>t</w:t>
      </w:r>
      <w:r>
        <w:t>lichen oder auch außergerichtlichen Erklärungen bereitzuhalten.</w:t>
      </w:r>
    </w:p>
    <w:p w:rsidR="00713C4C" w:rsidRDefault="00CF5E23">
      <w:pPr>
        <w:pStyle w:val="Text-2"/>
      </w:pPr>
      <w:r>
        <w:t>Die vorgenannten Vorschriften führen zu folgenden systematischen Schlussfo</w:t>
      </w:r>
      <w:r>
        <w:t>l</w:t>
      </w:r>
      <w:r>
        <w:t>gerungen:</w:t>
      </w:r>
    </w:p>
    <w:p w:rsidR="00713C4C" w:rsidRDefault="00CF5E23">
      <w:pPr>
        <w:pStyle w:val="Aufzhlung-2"/>
      </w:pPr>
      <w:r>
        <w:t>(a)</w:t>
      </w:r>
      <w:r>
        <w:tab/>
        <w:t>Wenn das von der BRAK beabsichtigte Einrichten des beA auch zugleich den Empfang von Schriftsätzen durch das Gericht umfassen würde, wü</w:t>
      </w:r>
      <w:r>
        <w:t>r</w:t>
      </w:r>
      <w:r>
        <w:t>den die Rechtsanwälte bereits vor dem 01.01.2018 faktisch am elektron</w:t>
      </w:r>
      <w:r>
        <w:t>i</w:t>
      </w:r>
      <w:r>
        <w:t>schen Rechtsverkehr teilnehmen. Sie hätten auch keine Wahl, denn nach der Mitteilung der BRAK ist das beA ab dem 01.01.2016 auch ohne Zutun des Rechtsanwalts empfangsbereit.</w:t>
      </w:r>
    </w:p>
    <w:p w:rsidR="00713C4C" w:rsidRDefault="00CF5E23">
      <w:pPr>
        <w:overflowPunct w:val="0"/>
        <w:autoSpaceDE w:val="0"/>
        <w:autoSpaceDN w:val="0"/>
        <w:adjustRightInd w:val="0"/>
        <w:ind w:left="1134"/>
        <w:textAlignment w:val="baseline"/>
        <w:rPr>
          <w:rFonts w:eastAsia="Times New Roman"/>
          <w:szCs w:val="20"/>
          <w:lang w:eastAsia="de-DE"/>
        </w:rPr>
      </w:pPr>
      <w:r>
        <w:rPr>
          <w:rFonts w:eastAsia="Times New Roman"/>
          <w:szCs w:val="20"/>
          <w:lang w:eastAsia="de-DE"/>
        </w:rPr>
        <w:t>Dies widerspricht allerdings der eindeutigen Entscheidung des Gesetzg</w:t>
      </w:r>
      <w:r>
        <w:rPr>
          <w:rFonts w:eastAsia="Times New Roman"/>
          <w:szCs w:val="20"/>
          <w:lang w:eastAsia="de-DE"/>
        </w:rPr>
        <w:t>e</w:t>
      </w:r>
      <w:r>
        <w:rPr>
          <w:rFonts w:eastAsia="Times New Roman"/>
          <w:szCs w:val="20"/>
          <w:lang w:eastAsia="de-DE"/>
        </w:rPr>
        <w:t>bers, die Rechtsanwälte frühestens ab dem 01.01.2018 zur Teilnahme am (prozessualen) elektronischen Rechtsverkehr (Entgegennahme von elek</w:t>
      </w:r>
      <w:r>
        <w:rPr>
          <w:rFonts w:eastAsia="Times New Roman"/>
          <w:szCs w:val="20"/>
          <w:lang w:eastAsia="de-DE"/>
        </w:rPr>
        <w:t>t</w:t>
      </w:r>
      <w:r>
        <w:rPr>
          <w:rFonts w:eastAsia="Times New Roman"/>
          <w:szCs w:val="20"/>
          <w:lang w:eastAsia="de-DE"/>
        </w:rPr>
        <w:t>ronischen Dokumenten) zu verpflichten.</w:t>
      </w:r>
    </w:p>
    <w:p w:rsidR="00713C4C" w:rsidRDefault="00CF5E23">
      <w:pPr>
        <w:pStyle w:val="Aufzhlung-2"/>
      </w:pPr>
      <w:r>
        <w:lastRenderedPageBreak/>
        <w:t>(b)</w:t>
      </w:r>
      <w:r>
        <w:tab/>
        <w:t>Die aktuellen Veröffentlichungen der BRAK zum beA könnten dazu fü</w:t>
      </w:r>
      <w:r>
        <w:t>h</w:t>
      </w:r>
      <w:r>
        <w:t>ren, dass sich das beA als einziger sicherer Übermittlungsweg gemäß § 130a Abs. 4 ZPO n.F. faktisch durchsetzt. Vor allem die Ankündigung der BRAK, dass eine Pflicht zur Nutzung des beA zwar nicht existiere, e</w:t>
      </w:r>
      <w:r>
        <w:t>i</w:t>
      </w:r>
      <w:r>
        <w:t>ne Nutzung zur Vermeidung eventueller Haftungsfälle jedoch empfohlen werde, dürfte viele Rechtsanwälte dazu bewegen, das beA zu nutzen. Vermutlich werden sich die Rechtsanwälte, nicht zuletzt wegen zusätzl</w:t>
      </w:r>
      <w:r>
        <w:t>i</w:t>
      </w:r>
      <w:r>
        <w:t>cher Kosten, für keinen alternativen sicheren Übermittlungsweg gemäß § 130a Abs. 4 ZPO n.F. entscheiden. Der Vorsitzende des Ausschusses Elektronischer Rechtsverkehr der BRAK vermutet, dass das beA rund 165.000 Rechtsanwälte nutzen werden. Die Nutzung des De-Mail-Dienstes würde dann völlig verdrängt.</w:t>
      </w:r>
    </w:p>
    <w:p w:rsidR="00713C4C" w:rsidRDefault="00CF5E23">
      <w:pPr>
        <w:overflowPunct w:val="0"/>
        <w:autoSpaceDE w:val="0"/>
        <w:autoSpaceDN w:val="0"/>
        <w:adjustRightInd w:val="0"/>
        <w:ind w:left="1134"/>
        <w:textAlignment w:val="baseline"/>
        <w:rPr>
          <w:rFonts w:eastAsia="Times New Roman"/>
          <w:szCs w:val="20"/>
          <w:lang w:eastAsia="de-DE"/>
        </w:rPr>
      </w:pPr>
      <w:r>
        <w:rPr>
          <w:rFonts w:eastAsia="Times New Roman"/>
          <w:szCs w:val="20"/>
          <w:lang w:eastAsia="de-DE"/>
        </w:rPr>
        <w:t>Dies widerspricht der Entscheidung des Gesetzgebers in § 130a Abs. 4 ZPO n.F., dass Rechtsanwälte zwischen mehreren sicheren Übermit</w:t>
      </w:r>
      <w:r>
        <w:rPr>
          <w:rFonts w:eastAsia="Times New Roman"/>
          <w:szCs w:val="20"/>
          <w:lang w:eastAsia="de-DE"/>
        </w:rPr>
        <w:t>t</w:t>
      </w:r>
      <w:r>
        <w:rPr>
          <w:rFonts w:eastAsia="Times New Roman"/>
          <w:szCs w:val="20"/>
          <w:lang w:eastAsia="de-DE"/>
        </w:rPr>
        <w:t>lungswegen frei wählen können, um Schriftsätze frühestens ab dem 01.01.2018 vom Gericht zu empfangen oder spätestens ab dem 01.01.2022 zu versenden. Die Bundesregierung geht in ihrem Gesetzentwurf vom 06.03.2013 (BT-Drs. 17/12634, S. 55) davon aus, dass das beA zwar der wesentliche, aber nicht der einzige Weg sein wird, über den die Recht</w:t>
      </w:r>
      <w:r>
        <w:rPr>
          <w:rFonts w:eastAsia="Times New Roman"/>
          <w:szCs w:val="20"/>
          <w:lang w:eastAsia="de-DE"/>
        </w:rPr>
        <w:t>s</w:t>
      </w:r>
      <w:r>
        <w:rPr>
          <w:rFonts w:eastAsia="Times New Roman"/>
          <w:szCs w:val="20"/>
          <w:lang w:eastAsia="de-DE"/>
        </w:rPr>
        <w:t>anwälte mit den Gerichten kommunizieren werden. Die den Rechtsanwä</w:t>
      </w:r>
      <w:r>
        <w:rPr>
          <w:rFonts w:eastAsia="Times New Roman"/>
          <w:szCs w:val="20"/>
          <w:lang w:eastAsia="de-DE"/>
        </w:rPr>
        <w:t>l</w:t>
      </w:r>
      <w:r>
        <w:rPr>
          <w:rFonts w:eastAsia="Times New Roman"/>
          <w:szCs w:val="20"/>
          <w:lang w:eastAsia="de-DE"/>
        </w:rPr>
        <w:t>ten eingeräumte Wahlmöglichkeit würde durch die von der BRAK betri</w:t>
      </w:r>
      <w:r>
        <w:rPr>
          <w:rFonts w:eastAsia="Times New Roman"/>
          <w:szCs w:val="20"/>
          <w:lang w:eastAsia="de-DE"/>
        </w:rPr>
        <w:t>e</w:t>
      </w:r>
      <w:r>
        <w:rPr>
          <w:rFonts w:eastAsia="Times New Roman"/>
          <w:szCs w:val="20"/>
          <w:lang w:eastAsia="de-DE"/>
        </w:rPr>
        <w:t>bene Fokussierung auf das beA faktisch eliminiert werden.</w:t>
      </w:r>
    </w:p>
    <w:p w:rsidR="00713C4C" w:rsidRDefault="00CF5E23">
      <w:pPr>
        <w:pStyle w:val="berschrift6"/>
        <w:rPr>
          <w:rFonts w:eastAsiaTheme="majorEastAsia"/>
        </w:rPr>
      </w:pPr>
      <w:r>
        <w:rPr>
          <w:rFonts w:eastAsiaTheme="majorEastAsia"/>
        </w:rPr>
        <w:t>(bb)</w:t>
      </w:r>
      <w:r>
        <w:rPr>
          <w:rFonts w:eastAsiaTheme="majorEastAsia"/>
        </w:rPr>
        <w:tab/>
        <w:t>Verhältnis zu den anderen Vorschriften der BRAO</w:t>
      </w:r>
    </w:p>
    <w:p w:rsidR="00713C4C" w:rsidRDefault="00CF5E23">
      <w:pPr>
        <w:pStyle w:val="Text-2"/>
      </w:pPr>
      <w:r>
        <w:t>Aus der systematischen Stellung des § 31a Abs. 1 S. 1 BRAO (i.d.F. des Gese</w:t>
      </w:r>
      <w:r>
        <w:t>t</w:t>
      </w:r>
      <w:r>
        <w:t>zes zur Förderung des elektronischen Rechtsverkehrs mit den Gerichten) inne</w:t>
      </w:r>
      <w:r>
        <w:t>r</w:t>
      </w:r>
      <w:r>
        <w:t>halb der BRAO lassen sich zwei wesentliche Schlussfolgerungen ableiten:</w:t>
      </w:r>
    </w:p>
    <w:p w:rsidR="00713C4C" w:rsidRDefault="00CF5E23">
      <w:pPr>
        <w:pStyle w:val="Aufzhlung-2"/>
      </w:pPr>
      <w:r>
        <w:t>(a)</w:t>
      </w:r>
      <w:r>
        <w:tab/>
        <w:t>Nur der Rechtsanwalt bestimmt, wann er erstmals elektronische Nachric</w:t>
      </w:r>
      <w:r>
        <w:t>h</w:t>
      </w:r>
      <w:r>
        <w:t>ten über das beA empfangen möchte.</w:t>
      </w:r>
    </w:p>
    <w:p w:rsidR="00713C4C" w:rsidRDefault="00CF5E23">
      <w:pPr>
        <w:overflowPunct w:val="0"/>
        <w:autoSpaceDE w:val="0"/>
        <w:autoSpaceDN w:val="0"/>
        <w:adjustRightInd w:val="0"/>
        <w:ind w:left="1134"/>
        <w:textAlignment w:val="baseline"/>
        <w:rPr>
          <w:rFonts w:eastAsia="Times New Roman"/>
          <w:szCs w:val="20"/>
          <w:lang w:eastAsia="de-DE"/>
        </w:rPr>
      </w:pPr>
      <w:r>
        <w:rPr>
          <w:rFonts w:eastAsia="Times New Roman"/>
          <w:szCs w:val="20"/>
          <w:lang w:eastAsia="de-DE"/>
        </w:rPr>
        <w:lastRenderedPageBreak/>
        <w:t>Zwar wird gemäß § 31 Abs. 3 S. 1 BRAO n.F. ab dem 01.01.2016 in das Rechtsanwaltsverzeichnis auch die Adresse des beA eingetragen. Daraus kann allerdings nicht zwingend abgeleitet werden, dass das beA bereits ab dem 01.01.2016 ohne Zutun des Rechtsanwalts empfangsbereit eingeric</w:t>
      </w:r>
      <w:r>
        <w:rPr>
          <w:rFonts w:eastAsia="Times New Roman"/>
          <w:szCs w:val="20"/>
          <w:lang w:eastAsia="de-DE"/>
        </w:rPr>
        <w:t>h</w:t>
      </w:r>
      <w:r>
        <w:rPr>
          <w:rFonts w:eastAsia="Times New Roman"/>
          <w:szCs w:val="20"/>
          <w:lang w:eastAsia="de-DE"/>
        </w:rPr>
        <w:t>tet sein soll. Vielmehr ergibt sich aus der BRAO-Novelle 2009 und insb</w:t>
      </w:r>
      <w:r>
        <w:rPr>
          <w:rFonts w:eastAsia="Times New Roman"/>
          <w:szCs w:val="20"/>
          <w:lang w:eastAsia="de-DE"/>
        </w:rPr>
        <w:t>e</w:t>
      </w:r>
      <w:r>
        <w:rPr>
          <w:rFonts w:eastAsia="Times New Roman"/>
          <w:szCs w:val="20"/>
          <w:lang w:eastAsia="de-DE"/>
        </w:rPr>
        <w:t>sondere aus den Änderungen zu § 31 Abs. 3 S. 1 BRAO a.F., dass b</w:t>
      </w:r>
      <w:r>
        <w:rPr>
          <w:rFonts w:eastAsia="Times New Roman"/>
          <w:szCs w:val="20"/>
          <w:lang w:eastAsia="de-DE"/>
        </w:rPr>
        <w:t>e</w:t>
      </w:r>
      <w:r>
        <w:rPr>
          <w:rFonts w:eastAsia="Times New Roman"/>
          <w:szCs w:val="20"/>
          <w:lang w:eastAsia="de-DE"/>
        </w:rPr>
        <w:t>stimmte Telekommunikationsdaten nur dann eingetragen werden dürfen, wenn der Rechtsanwalt diese Telekommunikationsdaten der zuständigen Rechtsanwaltskammer mitgeteilt hat (BT-Drs. 16/11385, S. 8 Ziffer 12 c) aa)). Dadurch, dass der Rechtsanwalt der zuständigen Rechtsanwaltska</w:t>
      </w:r>
      <w:r>
        <w:rPr>
          <w:rFonts w:eastAsia="Times New Roman"/>
          <w:szCs w:val="20"/>
          <w:lang w:eastAsia="de-DE"/>
        </w:rPr>
        <w:t>m</w:t>
      </w:r>
      <w:r>
        <w:rPr>
          <w:rFonts w:eastAsia="Times New Roman"/>
          <w:szCs w:val="20"/>
          <w:lang w:eastAsia="de-DE"/>
        </w:rPr>
        <w:t>mer Telekommunikationsdaten mitteilt, bringt er zugleich zum Ausdruck, über diese Telekommunikationsdaten Mitteilungen empfangen und ve</w:t>
      </w:r>
      <w:r>
        <w:rPr>
          <w:rFonts w:eastAsia="Times New Roman"/>
          <w:szCs w:val="20"/>
          <w:lang w:eastAsia="de-DE"/>
        </w:rPr>
        <w:t>r</w:t>
      </w:r>
      <w:r>
        <w:rPr>
          <w:rFonts w:eastAsia="Times New Roman"/>
          <w:szCs w:val="20"/>
          <w:lang w:eastAsia="de-DE"/>
        </w:rPr>
        <w:t>senden zu wollen. Es liegt somit ein Willensentschluss des Rechtsanwalts vor. Telekommunikationsdaten, die nicht mitgeteilt wurden, können auch zwangsläufig nicht veröffentlicht werden (vgl. Gaier/Wolf/Göcken-Siegmund, Anwaltliches Berufsrecht, 2. Aufl., Köln 2014, § 31 BRAO Rdnr. 63). Diese gesetzgeberische Wertung ist auf das beA insoweit übe</w:t>
      </w:r>
      <w:r>
        <w:rPr>
          <w:rFonts w:eastAsia="Times New Roman"/>
          <w:szCs w:val="20"/>
          <w:lang w:eastAsia="de-DE"/>
        </w:rPr>
        <w:t>r</w:t>
      </w:r>
      <w:r>
        <w:rPr>
          <w:rFonts w:eastAsia="Times New Roman"/>
          <w:szCs w:val="20"/>
          <w:lang w:eastAsia="de-DE"/>
        </w:rPr>
        <w:t xml:space="preserve">tragbar, als dass der Rechtsanwalt zwar die Eintragung seiner beA-Adresse im Gesamtverzeichnis nicht verhindern kann, aber erst durch die Erstregistrierung zum Ausdruck bringen muss, dass er über das beA </w:t>
      </w:r>
      <w:r>
        <w:t>elek</w:t>
      </w:r>
      <w:r>
        <w:t>t</w:t>
      </w:r>
      <w:r>
        <w:t xml:space="preserve">ronische </w:t>
      </w:r>
      <w:r>
        <w:rPr>
          <w:rFonts w:eastAsia="Times New Roman"/>
          <w:szCs w:val="20"/>
          <w:lang w:eastAsia="de-DE"/>
        </w:rPr>
        <w:t>Nachrichten empfangen und versenden will.</w:t>
      </w:r>
    </w:p>
    <w:p w:rsidR="00713C4C" w:rsidRDefault="00CF5E23">
      <w:pPr>
        <w:pStyle w:val="Aufzhlung-2"/>
      </w:pPr>
      <w:r>
        <w:t>(b)</w:t>
      </w:r>
      <w:r>
        <w:tab/>
        <w:t>Aus der systematischen Stellung des § 31a Abs. 1 S. 1 BRAO (i.d.F. des Gesetzes zur Förderung des elektronischen Rechtsverkehrs mit den G</w:t>
      </w:r>
      <w:r>
        <w:t>e</w:t>
      </w:r>
      <w:r>
        <w:t>richten) innerhalb der BRAO ergibt sich der Wille des Gesetzgebers, l</w:t>
      </w:r>
      <w:r>
        <w:t>e</w:t>
      </w:r>
      <w:r>
        <w:t>diglich eine Ermächtigungsgrundlage für die rein technische Errichtung des beA zu schaffen. Weitergehende Rechtswirkungen, insbesondere eine (Handlungs-)Verpflichtung der Rechtsanwälte, wollte der Gesetzgeber nicht schaffen.</w:t>
      </w:r>
    </w:p>
    <w:p w:rsidR="00713C4C" w:rsidRDefault="00CF5E23">
      <w:pPr>
        <w:overflowPunct w:val="0"/>
        <w:autoSpaceDE w:val="0"/>
        <w:autoSpaceDN w:val="0"/>
        <w:adjustRightInd w:val="0"/>
        <w:ind w:left="1134"/>
        <w:textAlignment w:val="baseline"/>
        <w:rPr>
          <w:rFonts w:eastAsia="Times New Roman"/>
          <w:szCs w:val="20"/>
          <w:lang w:eastAsia="de-DE"/>
        </w:rPr>
      </w:pPr>
      <w:r>
        <w:rPr>
          <w:rFonts w:eastAsia="Times New Roman"/>
          <w:szCs w:val="20"/>
          <w:lang w:eastAsia="de-DE"/>
        </w:rPr>
        <w:t>§ 31a Abs. 1 S. 1 BRAO (i.d.F. des Gesetzes zur Förderung des elektron</w:t>
      </w:r>
      <w:r>
        <w:rPr>
          <w:rFonts w:eastAsia="Times New Roman"/>
          <w:szCs w:val="20"/>
          <w:lang w:eastAsia="de-DE"/>
        </w:rPr>
        <w:t>i</w:t>
      </w:r>
      <w:r>
        <w:rPr>
          <w:rFonts w:eastAsia="Times New Roman"/>
          <w:szCs w:val="20"/>
          <w:lang w:eastAsia="de-DE"/>
        </w:rPr>
        <w:t xml:space="preserve">schen Rechtsverkehrs mit den Gerichten) befindet sich in Teil 2 Abschnitt </w:t>
      </w:r>
      <w:r>
        <w:rPr>
          <w:rFonts w:eastAsia="Times New Roman"/>
          <w:szCs w:val="20"/>
          <w:lang w:eastAsia="de-DE"/>
        </w:rPr>
        <w:lastRenderedPageBreak/>
        <w:t>2 der BRAO. Der Teil 2 Abschnitt 1 der BRAO regelt die Voraussetzu</w:t>
      </w:r>
      <w:r>
        <w:rPr>
          <w:rFonts w:eastAsia="Times New Roman"/>
          <w:szCs w:val="20"/>
          <w:lang w:eastAsia="de-DE"/>
        </w:rPr>
        <w:t>n</w:t>
      </w:r>
      <w:r>
        <w:rPr>
          <w:rFonts w:eastAsia="Times New Roman"/>
          <w:szCs w:val="20"/>
          <w:lang w:eastAsia="de-DE"/>
        </w:rPr>
        <w:t>gen für die Zulassung als Rechtsanwalt und für die Durchführung des Z</w:t>
      </w:r>
      <w:r>
        <w:rPr>
          <w:rFonts w:eastAsia="Times New Roman"/>
          <w:szCs w:val="20"/>
          <w:lang w:eastAsia="de-DE"/>
        </w:rPr>
        <w:t>u</w:t>
      </w:r>
      <w:r>
        <w:rPr>
          <w:rFonts w:eastAsia="Times New Roman"/>
          <w:szCs w:val="20"/>
          <w:lang w:eastAsia="de-DE"/>
        </w:rPr>
        <w:t>lassungsverfahrens. Der Teil 2 Abschnitt 2 der BRAO regelt die Einric</w:t>
      </w:r>
      <w:r>
        <w:rPr>
          <w:rFonts w:eastAsia="Times New Roman"/>
          <w:szCs w:val="20"/>
          <w:lang w:eastAsia="de-DE"/>
        </w:rPr>
        <w:t>h</w:t>
      </w:r>
      <w:r>
        <w:rPr>
          <w:rFonts w:eastAsia="Times New Roman"/>
          <w:szCs w:val="20"/>
          <w:lang w:eastAsia="de-DE"/>
        </w:rPr>
        <w:t>tung der Kanzlei sowie die Führung des Rechtsanwaltsverzeichnisses bzw. die Führung des Gesamtverzeichnisses. § 31a Abs. 1 S. 1 BRAO (i.d.F. des Gesetzes zur Förderung des elektronischen Rechtsverkehrs mit den Gerichten) ist lediglich eine das Rechtsanwaltsverzeichnis ergänzende Vorschrift. Die Vorschriften über das Rechtsanwaltsverzeichnis (§§ 31 ff. BRAO) enthalten keine Verpflichtungen, die die Rechtsanwälte betreffen. Die Verpflichtungen treffen allein die örtlichen Rechtsanwaltskammern und die BRAK.</w:t>
      </w:r>
    </w:p>
    <w:p w:rsidR="00713C4C" w:rsidRDefault="00CF5E23">
      <w:pPr>
        <w:overflowPunct w:val="0"/>
        <w:autoSpaceDE w:val="0"/>
        <w:autoSpaceDN w:val="0"/>
        <w:adjustRightInd w:val="0"/>
        <w:ind w:left="1134"/>
        <w:textAlignment w:val="baseline"/>
        <w:rPr>
          <w:rFonts w:eastAsia="Times New Roman"/>
          <w:szCs w:val="20"/>
          <w:lang w:eastAsia="de-DE"/>
        </w:rPr>
      </w:pPr>
      <w:r>
        <w:rPr>
          <w:rFonts w:eastAsia="Times New Roman"/>
          <w:szCs w:val="20"/>
          <w:lang w:eastAsia="de-DE"/>
        </w:rPr>
        <w:t>Wenn der Gesetzgeber § 31a Abs. 1 S. 1 BRAO (i.d.F. des Gesetzes zur Förderung des elektronischen Rechtsverkehrs mit den Gerichten) auch als Verpflichtungsnorm zu Lasten der Rechtsanwälte hätte schaffen wollen, hätte der Gesetzgeber die Errichtung des beA in Teil 3 Abschnitt 1 der BRAO, in welchem die berufsrechtlichen Pflichten der Rechtsanwälte enthalten sind, regeln müssen. Dies hat er jedoch nicht getan.</w:t>
      </w:r>
    </w:p>
    <w:p w:rsidR="00713C4C" w:rsidRDefault="00CF5E23">
      <w:pPr>
        <w:pStyle w:val="berschrift5"/>
        <w:rPr>
          <w:rFonts w:eastAsiaTheme="majorEastAsia"/>
        </w:rPr>
      </w:pPr>
      <w:r>
        <w:rPr>
          <w:rFonts w:eastAsiaTheme="majorEastAsia"/>
        </w:rPr>
        <w:t>(3)</w:t>
      </w:r>
      <w:r>
        <w:rPr>
          <w:rFonts w:eastAsiaTheme="majorEastAsia"/>
        </w:rPr>
        <w:tab/>
        <w:t>Historische Auslegung</w:t>
      </w:r>
    </w:p>
    <w:p w:rsidR="00713C4C" w:rsidRDefault="00CF5E23">
      <w:pPr>
        <w:pStyle w:val="Text-2"/>
      </w:pPr>
      <w:r>
        <w:t>Die historische Auslegung des § 31a Abs. 1 S. 1 BRAO (i.d.F. des Gesetzes zur Förderung des elektronischen Rechtsverkehrs mit den Gerichten) und insbeso</w:t>
      </w:r>
      <w:r>
        <w:t>n</w:t>
      </w:r>
      <w:r>
        <w:t>dere des Wortes „einrichten“ ist dahingehend unergiebig, ob alle beA ab dem 01.01.2016 elektronische Nachrichten empfangen können, auch wenn der jewe</w:t>
      </w:r>
      <w:r>
        <w:t>i</w:t>
      </w:r>
      <w:r>
        <w:t>lige Rechtsanwalt die Erstregistrierung nicht durchgeführt hat. Ich begründe dies wie folgt:</w:t>
      </w:r>
    </w:p>
    <w:p w:rsidR="00713C4C" w:rsidRDefault="00CF5E23">
      <w:pPr>
        <w:pStyle w:val="Aufzhlung-2"/>
      </w:pPr>
      <w:r>
        <w:t>(1)</w:t>
      </w:r>
      <w:r>
        <w:tab/>
        <w:t>Die Gesetzgebungsmaterialen (z.B. Gesetzentwürfe, Plenarprotokolle) enthalten keinen Hinweis drauf, dass das beA ab dem 01.01.2016 als b</w:t>
      </w:r>
      <w:r>
        <w:t>e</w:t>
      </w:r>
      <w:r>
        <w:t>reits empfangsbereit eingerichtet werden soll.</w:t>
      </w:r>
    </w:p>
    <w:p w:rsidR="00713C4C" w:rsidRDefault="00CF5E23">
      <w:pPr>
        <w:pStyle w:val="Aufzhlung-2"/>
      </w:pPr>
      <w:r>
        <w:lastRenderedPageBreak/>
        <w:t>(2)</w:t>
      </w:r>
      <w:r>
        <w:tab/>
        <w:t>Im Gesetzentwurf des Bundesrats vom 28.11.2012 (BT-Drs. 17/11691, S. 1) geht der Bundesrat davon aus, dass das beA erst nach einer Identif</w:t>
      </w:r>
      <w:r>
        <w:t>i</w:t>
      </w:r>
      <w:r>
        <w:t>zierung nutzbar sein soll. Der Gesetzentwurf enthält keine Begründung, was unter „nutzbar“ zu verstehen ist. Ferner führt der Bundesrat aus, dass mit dem beA die technische Infrastruktur und die technischen Vorausse</w:t>
      </w:r>
      <w:r>
        <w:t>t</w:t>
      </w:r>
      <w:r>
        <w:t>zungen für den elektronischen Rechtsverkehr mit den Gerichten gescha</w:t>
      </w:r>
      <w:r>
        <w:t>f</w:t>
      </w:r>
      <w:r>
        <w:t>fen werden sollen. Inwieweit mit der Schaffung des beA auch unmittelb</w:t>
      </w:r>
      <w:r>
        <w:t>a</w:t>
      </w:r>
      <w:r>
        <w:t>re Handlungs- oder Nutzungspflichten verknüpft werden sollen, ist dem Gesetzentwurf des Bundesrats nicht zu entnehmen.</w:t>
      </w:r>
    </w:p>
    <w:p w:rsidR="00713C4C" w:rsidRDefault="00CF5E23">
      <w:pPr>
        <w:pStyle w:val="Aufzhlung-2"/>
      </w:pPr>
      <w:r>
        <w:t>(3)</w:t>
      </w:r>
      <w:r>
        <w:tab/>
        <w:t>Im Gesetzentwurf der Bundesregierung vom 21.12.2012 (BR-Drs. 818/12, S. 38) geht die Bundesregierung zwar davon aus, dass die Rechtsanwälte für die Gerichte generell über das beA erreichbar sein werden. Allerdings enthält der Gesetzentwurf keine Ausführungen dazu, dass die Rechtsa</w:t>
      </w:r>
      <w:r>
        <w:t>n</w:t>
      </w:r>
      <w:r>
        <w:t>wälte über das beA bereits ab dem 01.01.2016 erreichbar sein müssen, bzw. ab dem 01.01.2016 bereits elektronische Nachrichten empfangen können müssen.</w:t>
      </w:r>
    </w:p>
    <w:p w:rsidR="00713C4C" w:rsidRDefault="00CF5E23">
      <w:pPr>
        <w:pStyle w:val="berschrift5"/>
        <w:rPr>
          <w:rFonts w:eastAsiaTheme="majorEastAsia"/>
        </w:rPr>
      </w:pPr>
      <w:r>
        <w:rPr>
          <w:rFonts w:eastAsiaTheme="majorEastAsia"/>
        </w:rPr>
        <w:t>(4)</w:t>
      </w:r>
      <w:r>
        <w:rPr>
          <w:rFonts w:eastAsiaTheme="majorEastAsia"/>
        </w:rPr>
        <w:tab/>
        <w:t>Teleologische Auslegung</w:t>
      </w:r>
    </w:p>
    <w:p w:rsidR="00713C4C" w:rsidRDefault="00CF5E23">
      <w:pPr>
        <w:pStyle w:val="Text-2"/>
      </w:pPr>
      <w:r>
        <w:t>Die teleologische Auslegung von § 31a Abs. 1 S. 1 BRAO (i.d.F. des Gesetzes zur Förderung des elektronischen Rechtsverkehrs mit den Gerichten) und insb</w:t>
      </w:r>
      <w:r>
        <w:t>e</w:t>
      </w:r>
      <w:r>
        <w:t xml:space="preserve">sondere des Wortes „einrichten“ spricht </w:t>
      </w:r>
      <w:r>
        <w:rPr>
          <w:b/>
        </w:rPr>
        <w:t>dagegen</w:t>
      </w:r>
      <w:r>
        <w:t>, dass alle beA ab dem 01.01.2016 elektronische Nachrichten empfangen können, auch wenn der jewe</w:t>
      </w:r>
      <w:r>
        <w:t>i</w:t>
      </w:r>
      <w:r>
        <w:t>lige Rechtsanwalt die Erstregistrierung nicht durchgeführt hat.</w:t>
      </w:r>
    </w:p>
    <w:p w:rsidR="00713C4C" w:rsidRDefault="00CF5E23">
      <w:pPr>
        <w:pStyle w:val="Text-2"/>
      </w:pPr>
      <w:r>
        <w:t>Sinn und Zweck des Gesetzes zur Förderung des elektronischen Rechtsverkehrs mit den Gerichten ist die flächendeckende Verbreitung des elektronischen Rechtsverkehrs mit den Gerichten. Der Gesetzgeber hat sich zu diesem Zweck dafür entschieden, dass sich die Prozessparteien und das Gericht zukünftig elek</w:t>
      </w:r>
      <w:r>
        <w:t>t</w:t>
      </w:r>
      <w:r>
        <w:t>ronische Dokumente über sichere Übermittlungswege gemäß § 130a Abs. 4 ZPO n.F. (z.B. über den De-Mail-Dienst und insbesondere über das beA) übe</w:t>
      </w:r>
      <w:r>
        <w:t>r</w:t>
      </w:r>
      <w:r>
        <w:t>mitteln. Ob und wann die Rechtsanwälte einen sicheren Übermittlungsweg g</w:t>
      </w:r>
      <w:r>
        <w:t>e</w:t>
      </w:r>
      <w:r>
        <w:lastRenderedPageBreak/>
        <w:t>mäß § 130a Abs. 4 ZPO n.F. nutzen müssen, richtet sich ausschließlich nach den Vorschriften der §§ 130a, 174 und 195 ZPO n.F. in Verbindung mit der Vo</w:t>
      </w:r>
      <w:r>
        <w:t>r</w:t>
      </w:r>
      <w:r>
        <w:t>schrift über das Inkrafttreten gemäß Art. 26 des Gesetzes zur Förderung des elektronischen Rechtsverkehrs mit den Gerichten.</w:t>
      </w:r>
    </w:p>
    <w:p w:rsidR="00713C4C" w:rsidRDefault="00CF5E23">
      <w:pPr>
        <w:pStyle w:val="Text-2"/>
      </w:pPr>
      <w:r>
        <w:t>Der Sinn und Zweck von § 31a Abs. 1 S. 1 BRAO (i.d.F. des Gesetzes zur Fö</w:t>
      </w:r>
      <w:r>
        <w:t>r</w:t>
      </w:r>
      <w:r>
        <w:t>derung des elektronischen Rechtsverkehrs mit den Gerichten) ist daher durch die Intention des Gesetzgebers (flächendeckende Verbreitung des elektronischen Rechtsverkehrs mit den Gerichten) begrenzt und ist lediglich die Ermächt</w:t>
      </w:r>
      <w:r>
        <w:t>i</w:t>
      </w:r>
      <w:r>
        <w:t>gungsgrundlage für die BRAK, das beA in technischer Hinsicht zu errichten.</w:t>
      </w:r>
    </w:p>
    <w:p w:rsidR="00713C4C" w:rsidRDefault="00CF5E23">
      <w:pPr>
        <w:pStyle w:val="Text-2"/>
      </w:pPr>
      <w:r>
        <w:t xml:space="preserve">Das Gesetz zur Förderung des elektronischen Rechtsverkehrs mit den Gerichten und insbesondere § 31a Abs. 1 S. 1 BRAO (i.d.F. des Gesetzes zur Förderung des elektronischen Rechtsverkehrs mit den Gerichten) dürfen daher nicht so ausgelegt werden, dass die sicheren Übermittlungswege gemäß § 130a Abs. 4 ZPO n.F. sowohl in zeitlicher oder in inhaltlicher Weise für andere als die vom Gesetzgeber vorgegebenen Ziele verwendet werden können. </w:t>
      </w:r>
      <w:r>
        <w:rPr>
          <w:szCs w:val="24"/>
        </w:rPr>
        <w:t>Rechtsanwälte sind aus § 174 Abs. 3 S. 4 ZPO n.F. verpflichtet, ab dem 01.01.2018 einen sicheren Übermittlungsweg bereitzuhalten (De-Mail oder beA). Eine faktische Öffnung des elektronischen Rechtsverkehrs durch das empfangsbereite beA würde diese Pflicht bereits auf den 01.01.2016 vorverlegen. Die Öffnung des beA als zusät</w:t>
      </w:r>
      <w:r>
        <w:rPr>
          <w:szCs w:val="24"/>
        </w:rPr>
        <w:t>z</w:t>
      </w:r>
      <w:r>
        <w:rPr>
          <w:szCs w:val="24"/>
        </w:rPr>
        <w:t>licher Kommunikationskanal für Dritte, die außerhalb eines Gerichtsverfahrens stehen, würde ebenfalls das vom Gesetzgeber vorgegebene Ziel (elektronischer Rechtsverkehr mit den Gerichten) erweitern (mag dies auch technisch möglich oder wirtschaftlich sinnvoll sein). Exemplarisch sei hier die Absicht der BRAK zu erwähnen, für jede örtliche Rechtsanwaltskammer ein beA einzurichten, d</w:t>
      </w:r>
      <w:r>
        <w:rPr>
          <w:szCs w:val="24"/>
        </w:rPr>
        <w:t>a</w:t>
      </w:r>
      <w:r>
        <w:rPr>
          <w:szCs w:val="24"/>
        </w:rPr>
        <w:t>mit örtliche Rechtsanwaltskammern mit ihren Mitgliedern kommunizieren kö</w:t>
      </w:r>
      <w:r>
        <w:rPr>
          <w:szCs w:val="24"/>
        </w:rPr>
        <w:t>n</w:t>
      </w:r>
      <w:r>
        <w:rPr>
          <w:szCs w:val="24"/>
        </w:rPr>
        <w:t>nen</w:t>
      </w:r>
      <w:r>
        <w:t xml:space="preserve"> (vgl. bea.brak.de/was-ist-das-bea/teilnehmer). Für die Einrichtung eines beA für örtliche Rechtsanwaltskammern besteht nach meiner Rechtsansicht keine g</w:t>
      </w:r>
      <w:r>
        <w:t>e</w:t>
      </w:r>
      <w:r>
        <w:t xml:space="preserve">setzlichen Grundlage. Nach der Rechtsprechung des Bundesverfassungsgerichts darf eine teleologische Auslegung nicht dazu führen, dass das gesetzgeberische Ziel in einem wesentlichen Punkt verfehlt oder verfälscht wird (vgl. BVerfGE </w:t>
      </w:r>
      <w:r>
        <w:lastRenderedPageBreak/>
        <w:t>133, 168 Rdnr. 66). Genau dies wäre aber bei dem von der BRAK beabsichti</w:t>
      </w:r>
      <w:r>
        <w:t>g</w:t>
      </w:r>
      <w:r>
        <w:t>ten empfangsbereiten beA ab dem 01.01.2016 der Fall.</w:t>
      </w:r>
    </w:p>
    <w:p w:rsidR="00713C4C" w:rsidRDefault="00CF5E23">
      <w:pPr>
        <w:pStyle w:val="berschrift5"/>
        <w:rPr>
          <w:rFonts w:eastAsiaTheme="majorEastAsia"/>
        </w:rPr>
      </w:pPr>
      <w:r>
        <w:rPr>
          <w:rFonts w:eastAsiaTheme="majorEastAsia"/>
        </w:rPr>
        <w:t>(5)</w:t>
      </w:r>
      <w:r>
        <w:rPr>
          <w:rFonts w:eastAsiaTheme="majorEastAsia"/>
        </w:rPr>
        <w:tab/>
        <w:t>Gesamtabwägung</w:t>
      </w:r>
    </w:p>
    <w:p w:rsidR="00713C4C" w:rsidRDefault="00CF5E23">
      <w:pPr>
        <w:pStyle w:val="Text-2"/>
      </w:pPr>
      <w:r>
        <w:t>Keine der Auslegungsmethoden hat einen unbedingten Vorrang (vgl. BVerfGE 105, 135, 157; 133, 168 Rdnr. 66), so dass es hier auf eine Gesamtschau aller Auslegungsergebnisse ankommt.</w:t>
      </w:r>
    </w:p>
    <w:p w:rsidR="00713C4C" w:rsidRDefault="00CF5E23">
      <w:pPr>
        <w:pStyle w:val="Text-2"/>
      </w:pPr>
      <w:r>
        <w:t>Nur unter Berücksichtigung des IT-technischen Verständnisses liefert die wör</w:t>
      </w:r>
      <w:r>
        <w:t>t</w:t>
      </w:r>
      <w:r>
        <w:t>liche Auslegung des § 31a Abs. 1 S. 1 BRAO (i.d.F. des Gesetzes zur Förderung des elektronischen Rechtsverkehrs mit den Gerichten) einen Anhaltspunkt d</w:t>
      </w:r>
      <w:r>
        <w:t>a</w:t>
      </w:r>
      <w:r>
        <w:t>rauf, dass das Wort „einrichten“ bedeutet, dass alle beA ab dem 01.01.2016 elektronische Nachrichten empfangen können, auch wenn der jeweilige Recht</w:t>
      </w:r>
      <w:r>
        <w:t>s</w:t>
      </w:r>
      <w:r>
        <w:t>anwalt die Erstregistrierung nicht durchgeführt hat. Die historische Auslegung ist unergiebig. Die systematische und auch die teleologische Auslegung spr</w:t>
      </w:r>
      <w:r>
        <w:t>e</w:t>
      </w:r>
      <w:r>
        <w:t>chen mit klaren und überzeugenden Argumenten dagegen, dass das Wort „ei</w:t>
      </w:r>
      <w:r>
        <w:t>n</w:t>
      </w:r>
      <w:r>
        <w:t>richten“ bedeutet, dass alle beA ab dem 01.01.2016 elektronische Nachrichten empfangen können, auch wenn der jeweilige Rechtsanwalt die Erstregistrierung nicht durchgeführt hat. Weil die Argumente der wörtlichen Auslegung im Ve</w:t>
      </w:r>
      <w:r>
        <w:t>r</w:t>
      </w:r>
      <w:r>
        <w:t>hältnis zur systematischen und auch zur teleologischen Auslegung wenig übe</w:t>
      </w:r>
      <w:r>
        <w:t>r</w:t>
      </w:r>
      <w:r>
        <w:t>zeugen, komme ich im Ergebnis dazu, der systematischen und teleologische Auslegung den Vorzug zu geben.</w:t>
      </w:r>
    </w:p>
    <w:p w:rsidR="00713C4C" w:rsidRDefault="00CF5E23">
      <w:pPr>
        <w:pStyle w:val="berschrift3"/>
        <w:rPr>
          <w:rFonts w:eastAsiaTheme="majorEastAsia"/>
        </w:rPr>
      </w:pPr>
      <w:r>
        <w:rPr>
          <w:rFonts w:eastAsiaTheme="majorEastAsia"/>
        </w:rPr>
        <w:t>b)</w:t>
      </w:r>
      <w:r>
        <w:rPr>
          <w:rFonts w:eastAsiaTheme="majorEastAsia"/>
        </w:rPr>
        <w:tab/>
        <w:t>Eingriff in eine Grundrechtsposition</w:t>
      </w:r>
    </w:p>
    <w:p w:rsidR="00713C4C" w:rsidRDefault="00CF5E23">
      <w:pPr>
        <w:pStyle w:val="Text-2"/>
        <w:rPr>
          <w:rFonts w:eastAsiaTheme="majorEastAsia"/>
        </w:rPr>
      </w:pPr>
      <w:r>
        <w:rPr>
          <w:rFonts w:eastAsiaTheme="majorEastAsia"/>
          <w:lang w:eastAsia="en-US"/>
        </w:rPr>
        <w:t xml:space="preserve">Ihr Handeln, </w:t>
      </w:r>
      <w:r>
        <w:t xml:space="preserve">das beA für unseren Mandanten empfangsbereit einzurichten ohne dass er eine beA-Karte zur Erstregistrierung beantragt hat, </w:t>
      </w:r>
      <w:r>
        <w:rPr>
          <w:rFonts w:eastAsiaTheme="majorEastAsia"/>
        </w:rPr>
        <w:t>greift in Grun</w:t>
      </w:r>
      <w:r>
        <w:rPr>
          <w:rFonts w:eastAsiaTheme="majorEastAsia"/>
        </w:rPr>
        <w:t>d</w:t>
      </w:r>
      <w:r>
        <w:rPr>
          <w:rFonts w:eastAsiaTheme="majorEastAsia"/>
        </w:rPr>
        <w:t>rechtsposition unseres Mandanten ein.</w:t>
      </w:r>
    </w:p>
    <w:p w:rsidR="00713C4C" w:rsidRDefault="00CF5E23">
      <w:pPr>
        <w:pStyle w:val="Text-2"/>
        <w:rPr>
          <w:rFonts w:eastAsiaTheme="majorEastAsia"/>
          <w:lang w:eastAsia="en-US"/>
        </w:rPr>
      </w:pPr>
      <w:r>
        <w:rPr>
          <w:rFonts w:eastAsiaTheme="majorEastAsia"/>
          <w:lang w:eastAsia="en-US"/>
        </w:rPr>
        <w:t xml:space="preserve">Die Tätigkeit unseres Mandantin ist von Art. 12 GG geschützt. Nach </w:t>
      </w:r>
      <w:r>
        <w:t>§ 130a Abs. 4 ZPO n.F. kann unser Mandant unter einem der vier möglichen sicheren Übermittlungswege wählen. Dieses Wahlrecht ist von der Berufsausübungsfre</w:t>
      </w:r>
      <w:r>
        <w:t>i</w:t>
      </w:r>
      <w:r>
        <w:lastRenderedPageBreak/>
        <w:t xml:space="preserve">heit des </w:t>
      </w:r>
      <w:r>
        <w:rPr>
          <w:rFonts w:eastAsiaTheme="majorEastAsia"/>
          <w:lang w:eastAsia="en-US"/>
        </w:rPr>
        <w:t>Art. 12 Abs. 1 GG umfasst und wird durch Ihr konkretes Vorgehen u</w:t>
      </w:r>
      <w:r>
        <w:rPr>
          <w:rFonts w:eastAsiaTheme="majorEastAsia"/>
          <w:lang w:eastAsia="en-US"/>
        </w:rPr>
        <w:t>n</w:t>
      </w:r>
      <w:r>
        <w:rPr>
          <w:rFonts w:eastAsiaTheme="majorEastAsia"/>
          <w:lang w:eastAsia="en-US"/>
        </w:rPr>
        <w:t>zulässig eingeschränkt.</w:t>
      </w:r>
    </w:p>
    <w:p w:rsidR="00713C4C" w:rsidRDefault="00CF5E23">
      <w:pPr>
        <w:pStyle w:val="berschrift3"/>
        <w:rPr>
          <w:rFonts w:eastAsiaTheme="majorEastAsia"/>
        </w:rPr>
      </w:pPr>
      <w:r>
        <w:rPr>
          <w:rFonts w:eastAsiaTheme="majorEastAsia"/>
        </w:rPr>
        <w:t>c)</w:t>
      </w:r>
      <w:r>
        <w:rPr>
          <w:rFonts w:eastAsiaTheme="majorEastAsia"/>
        </w:rPr>
        <w:tab/>
        <w:t>Keine Duldungspflicht</w:t>
      </w:r>
    </w:p>
    <w:p w:rsidR="00713C4C" w:rsidRDefault="00CF5E23">
      <w:pPr>
        <w:pStyle w:val="Text-2"/>
        <w:rPr>
          <w:rFonts w:eastAsiaTheme="majorEastAsia"/>
          <w:lang w:eastAsia="en-US"/>
        </w:rPr>
      </w:pPr>
      <w:r>
        <w:rPr>
          <w:rFonts w:eastAsiaTheme="majorEastAsia"/>
          <w:lang w:eastAsia="en-US"/>
        </w:rPr>
        <w:t>Eine Pflicht zur Duldung ergibt sich nicht. Hierzu wäre eine normkonkrete und verfassungsgemäße gesetzliche Grundlage erforderlich.</w:t>
      </w:r>
    </w:p>
    <w:p w:rsidR="00713C4C" w:rsidRDefault="00713C4C">
      <w:pPr>
        <w:pStyle w:val="Text-1"/>
      </w:pPr>
    </w:p>
    <w:p w:rsidR="00713C4C" w:rsidRDefault="00CF5E23">
      <w:pPr>
        <w:pStyle w:val="Text-1"/>
      </w:pPr>
      <w:r>
        <w:t>Mit freundlichen kollegialen Grüßen</w:t>
      </w:r>
    </w:p>
    <w:sectPr w:rsidR="00713C4C" w:rsidSect="00713C4C">
      <w:footerReference w:type="default" r:id="rId7"/>
      <w:pgSz w:w="11906" w:h="16838" w:code="9"/>
      <w:pgMar w:top="2552" w:right="1418" w:bottom="1361" w:left="2155"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E23" w:rsidRDefault="00CF5E23">
      <w:pPr>
        <w:spacing w:after="0" w:line="240" w:lineRule="auto"/>
      </w:pPr>
      <w:r>
        <w:separator/>
      </w:r>
    </w:p>
  </w:endnote>
  <w:endnote w:type="continuationSeparator" w:id="0">
    <w:p w:rsidR="00CF5E23" w:rsidRDefault="00CF5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E23" w:rsidRDefault="00CF5E23">
    <w:pPr>
      <w:pStyle w:val="Fuzeile"/>
      <w:tabs>
        <w:tab w:val="clear" w:pos="4536"/>
        <w:tab w:val="center" w:pos="3686"/>
      </w:tabs>
    </w:pPr>
    <w:r>
      <w:tab/>
      <w:t xml:space="preserve">- </w:t>
    </w:r>
    <w:fldSimple w:instr=" PAGE  \* Arabic  \* MERGEFORMAT ">
      <w:r w:rsidR="00EA7D2C">
        <w:rPr>
          <w:noProof/>
        </w:rPr>
        <w:t>3</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E23" w:rsidRDefault="00CF5E23">
      <w:pPr>
        <w:spacing w:after="0" w:line="240" w:lineRule="auto"/>
      </w:pPr>
      <w:r>
        <w:separator/>
      </w:r>
    </w:p>
  </w:footnote>
  <w:footnote w:type="continuationSeparator" w:id="0">
    <w:p w:rsidR="00CF5E23" w:rsidRDefault="00CF5E2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oNotTrackFormatting/>
  <w:defaultTabStop w:val="708"/>
  <w:autoHyphenation/>
  <w:hyphenationZone w:val="425"/>
  <w:drawingGridHorizontalSpacing w:val="120"/>
  <w:displayHorizontalDrawingGridEvery w:val="2"/>
  <w:characterSpacingControl w:val="doNotCompress"/>
  <w:hdrShapeDefaults>
    <o:shapedefaults v:ext="edit" spidmax="29706"/>
  </w:hdrShapeDefaults>
  <w:footnotePr>
    <w:footnote w:id="-1"/>
    <w:footnote w:id="0"/>
  </w:footnotePr>
  <w:endnotePr>
    <w:endnote w:id="-1"/>
    <w:endnote w:id="0"/>
  </w:endnotePr>
  <w:compat/>
  <w:docVars>
    <w:docVar w:name="«Benutzer»" w:val="Ka"/>
    <w:docVar w:name="adressat" w:val="27"/>
    <w:docVar w:name="AutomatischSpeichern" w:val="0"/>
    <w:docVar w:name="betnr" w:val="6536"/>
    <w:docVar w:name="database" w:val="ADVOWARE"/>
    <w:docVar w:name="history" w:val="Telefax an Sonstiger 1 (Sparkasse KölnBonn)"/>
    <w:docVar w:name="kz" w:val="16"/>
    <w:docVar w:name="modified" w:val="1"/>
    <w:docVar w:name="NoPDF" w:val="ja"/>
    <w:docVar w:name="Nr" w:val="2015000010"/>
    <w:docVar w:name="speichern" w:val="ja"/>
    <w:docVar w:name="Status" w:val="nein"/>
    <w:docVar w:name="telefax" w:val="Per Telefax: 0 221 / 226 - 62 889"/>
  </w:docVars>
  <w:rsids>
    <w:rsidRoot w:val="00713C4C"/>
    <w:rsid w:val="002F4566"/>
    <w:rsid w:val="006B20B6"/>
    <w:rsid w:val="00713C4C"/>
    <w:rsid w:val="009165BF"/>
    <w:rsid w:val="00CF5E23"/>
    <w:rsid w:val="00EA7D2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Standard">
    <w:name w:val="Normal"/>
    <w:qFormat/>
    <w:rsid w:val="00713C4C"/>
    <w:pPr>
      <w:spacing w:after="240" w:line="360" w:lineRule="auto"/>
    </w:pPr>
    <w:rPr>
      <w:rFonts w:ascii="Times New Roman" w:hAnsi="Times New Roman"/>
      <w:sz w:val="24"/>
      <w:szCs w:val="22"/>
      <w:lang w:eastAsia="en-US"/>
    </w:rPr>
  </w:style>
  <w:style w:type="paragraph" w:styleId="berschrift1">
    <w:name w:val="heading 1"/>
    <w:basedOn w:val="Standard"/>
    <w:next w:val="Text-1"/>
    <w:link w:val="berschrift1Zchn"/>
    <w:uiPriority w:val="9"/>
    <w:qFormat/>
    <w:rsid w:val="00713C4C"/>
    <w:pPr>
      <w:keepNext/>
      <w:keepLines/>
      <w:spacing w:before="240" w:after="360"/>
      <w:jc w:val="center"/>
      <w:outlineLvl w:val="0"/>
    </w:pPr>
    <w:rPr>
      <w:rFonts w:eastAsia="Times New Roman"/>
      <w:b/>
      <w:bCs/>
      <w:szCs w:val="28"/>
    </w:rPr>
  </w:style>
  <w:style w:type="paragraph" w:styleId="berschrift2">
    <w:name w:val="heading 2"/>
    <w:basedOn w:val="Standard"/>
    <w:next w:val="Text-2"/>
    <w:link w:val="berschrift2Zchn"/>
    <w:uiPriority w:val="9"/>
    <w:unhideWhenUsed/>
    <w:qFormat/>
    <w:rsid w:val="00713C4C"/>
    <w:pPr>
      <w:keepNext/>
      <w:keepLines/>
      <w:spacing w:before="240"/>
      <w:ind w:left="567" w:hanging="567"/>
      <w:outlineLvl w:val="1"/>
    </w:pPr>
    <w:rPr>
      <w:rFonts w:eastAsia="Times New Roman"/>
      <w:b/>
      <w:bCs/>
      <w:szCs w:val="26"/>
    </w:rPr>
  </w:style>
  <w:style w:type="paragraph" w:styleId="berschrift3">
    <w:name w:val="heading 3"/>
    <w:basedOn w:val="berschrift2"/>
    <w:next w:val="Text-2"/>
    <w:link w:val="berschrift3Zchn"/>
    <w:uiPriority w:val="9"/>
    <w:unhideWhenUsed/>
    <w:qFormat/>
    <w:rsid w:val="00713C4C"/>
    <w:pPr>
      <w:outlineLvl w:val="2"/>
    </w:pPr>
  </w:style>
  <w:style w:type="paragraph" w:styleId="berschrift4">
    <w:name w:val="heading 4"/>
    <w:basedOn w:val="berschrift3"/>
    <w:next w:val="Text-2"/>
    <w:link w:val="berschrift4Zchn"/>
    <w:uiPriority w:val="9"/>
    <w:unhideWhenUsed/>
    <w:qFormat/>
    <w:rsid w:val="00713C4C"/>
    <w:pPr>
      <w:outlineLvl w:val="3"/>
    </w:pPr>
  </w:style>
  <w:style w:type="paragraph" w:styleId="berschrift5">
    <w:name w:val="heading 5"/>
    <w:basedOn w:val="berschrift4"/>
    <w:next w:val="Text-2"/>
    <w:link w:val="berschrift5Zchn"/>
    <w:uiPriority w:val="9"/>
    <w:unhideWhenUsed/>
    <w:qFormat/>
    <w:rsid w:val="00713C4C"/>
    <w:pPr>
      <w:outlineLvl w:val="4"/>
    </w:pPr>
  </w:style>
  <w:style w:type="paragraph" w:styleId="berschrift6">
    <w:name w:val="heading 6"/>
    <w:basedOn w:val="berschrift5"/>
    <w:next w:val="Text-2"/>
    <w:link w:val="berschrift6Zchn"/>
    <w:uiPriority w:val="9"/>
    <w:unhideWhenUsed/>
    <w:qFormat/>
    <w:rsid w:val="00713C4C"/>
    <w:pPr>
      <w:outlineLvl w:val="5"/>
    </w:pPr>
  </w:style>
  <w:style w:type="paragraph" w:styleId="berschrift7">
    <w:name w:val="heading 7"/>
    <w:basedOn w:val="Standard"/>
    <w:next w:val="Standard"/>
    <w:link w:val="berschrift7Zchn"/>
    <w:uiPriority w:val="9"/>
    <w:semiHidden/>
    <w:unhideWhenUsed/>
    <w:qFormat/>
    <w:rsid w:val="00713C4C"/>
    <w:pPr>
      <w:keepNext/>
      <w:keepLines/>
      <w:spacing w:before="200" w:after="0"/>
      <w:outlineLvl w:val="6"/>
    </w:pPr>
    <w:rPr>
      <w:rFonts w:ascii="Cambria" w:eastAsia="Times New Roman" w:hAnsi="Cambria"/>
      <w:i/>
      <w:iCs/>
      <w:color w:val="4040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1"/>
    <w:basedOn w:val="Standard"/>
    <w:link w:val="Text-1Zchn"/>
    <w:qFormat/>
    <w:rsid w:val="00713C4C"/>
    <w:pPr>
      <w:overflowPunct w:val="0"/>
      <w:autoSpaceDE w:val="0"/>
      <w:autoSpaceDN w:val="0"/>
      <w:adjustRightInd w:val="0"/>
      <w:textAlignment w:val="baseline"/>
    </w:pPr>
    <w:rPr>
      <w:rFonts w:eastAsia="Times New Roman"/>
    </w:rPr>
  </w:style>
  <w:style w:type="character" w:customStyle="1" w:styleId="Text-1Zchn">
    <w:name w:val="Text-1 Zchn"/>
    <w:basedOn w:val="Absatz-Standardschriftart"/>
    <w:link w:val="Text-1"/>
    <w:rsid w:val="00713C4C"/>
    <w:rPr>
      <w:rFonts w:ascii="Times New Roman" w:eastAsia="Times New Roman" w:hAnsi="Times New Roman" w:cs="Times New Roman"/>
      <w:sz w:val="24"/>
      <w:szCs w:val="22"/>
      <w:lang w:eastAsia="en-US"/>
    </w:rPr>
  </w:style>
  <w:style w:type="character" w:customStyle="1" w:styleId="berschrift1Zchn">
    <w:name w:val="Überschrift 1 Zchn"/>
    <w:basedOn w:val="Absatz-Standardschriftart"/>
    <w:link w:val="berschrift1"/>
    <w:uiPriority w:val="9"/>
    <w:rsid w:val="00713C4C"/>
    <w:rPr>
      <w:rFonts w:ascii="Times New Roman" w:eastAsia="Times New Roman" w:hAnsi="Times New Roman" w:cs="Times New Roman"/>
      <w:b/>
      <w:bCs/>
      <w:sz w:val="24"/>
      <w:szCs w:val="28"/>
      <w:lang w:eastAsia="en-US"/>
    </w:rPr>
  </w:style>
  <w:style w:type="character" w:customStyle="1" w:styleId="berschrift2Zchn">
    <w:name w:val="Überschrift 2 Zchn"/>
    <w:basedOn w:val="Absatz-Standardschriftart"/>
    <w:link w:val="berschrift2"/>
    <w:uiPriority w:val="9"/>
    <w:rsid w:val="00713C4C"/>
    <w:rPr>
      <w:rFonts w:ascii="Times New Roman" w:eastAsia="Times New Roman" w:hAnsi="Times New Roman" w:cs="Times New Roman"/>
      <w:b/>
      <w:bCs/>
      <w:sz w:val="24"/>
      <w:szCs w:val="26"/>
      <w:lang w:eastAsia="en-US"/>
    </w:rPr>
  </w:style>
  <w:style w:type="character" w:customStyle="1" w:styleId="berschrift3Zchn">
    <w:name w:val="Überschrift 3 Zchn"/>
    <w:basedOn w:val="Absatz-Standardschriftart"/>
    <w:link w:val="berschrift3"/>
    <w:uiPriority w:val="9"/>
    <w:rsid w:val="00713C4C"/>
    <w:rPr>
      <w:rFonts w:ascii="Times New Roman" w:eastAsia="Times New Roman" w:hAnsi="Times New Roman" w:cs="Times New Roman"/>
      <w:b/>
      <w:bCs/>
      <w:sz w:val="24"/>
      <w:szCs w:val="26"/>
      <w:lang w:eastAsia="en-US"/>
    </w:rPr>
  </w:style>
  <w:style w:type="character" w:customStyle="1" w:styleId="berschrift4Zchn">
    <w:name w:val="Überschrift 4 Zchn"/>
    <w:basedOn w:val="Absatz-Standardschriftart"/>
    <w:link w:val="berschrift4"/>
    <w:uiPriority w:val="9"/>
    <w:rsid w:val="00713C4C"/>
    <w:rPr>
      <w:rFonts w:ascii="Times New Roman" w:eastAsia="Times New Roman" w:hAnsi="Times New Roman" w:cs="Times New Roman"/>
      <w:b/>
      <w:bCs/>
      <w:sz w:val="24"/>
      <w:szCs w:val="26"/>
      <w:lang w:eastAsia="en-US"/>
    </w:rPr>
  </w:style>
  <w:style w:type="character" w:customStyle="1" w:styleId="berschrift5Zchn">
    <w:name w:val="Überschrift 5 Zchn"/>
    <w:basedOn w:val="Absatz-Standardschriftart"/>
    <w:link w:val="berschrift5"/>
    <w:uiPriority w:val="9"/>
    <w:rsid w:val="00713C4C"/>
    <w:rPr>
      <w:rFonts w:ascii="Times New Roman" w:eastAsia="Times New Roman" w:hAnsi="Times New Roman" w:cs="Times New Roman"/>
      <w:b/>
      <w:bCs/>
      <w:sz w:val="24"/>
      <w:szCs w:val="26"/>
      <w:lang w:eastAsia="en-US"/>
    </w:rPr>
  </w:style>
  <w:style w:type="paragraph" w:customStyle="1" w:styleId="Text-2">
    <w:name w:val="Text-2"/>
    <w:basedOn w:val="Standard"/>
    <w:link w:val="Text-2Zchn"/>
    <w:qFormat/>
    <w:rsid w:val="00713C4C"/>
    <w:pPr>
      <w:overflowPunct w:val="0"/>
      <w:autoSpaceDE w:val="0"/>
      <w:autoSpaceDN w:val="0"/>
      <w:adjustRightInd w:val="0"/>
      <w:ind w:left="567"/>
      <w:textAlignment w:val="baseline"/>
    </w:pPr>
    <w:rPr>
      <w:rFonts w:eastAsia="Times New Roman"/>
      <w:szCs w:val="20"/>
      <w:lang w:eastAsia="de-DE"/>
    </w:rPr>
  </w:style>
  <w:style w:type="character" w:customStyle="1" w:styleId="Text-2Zchn">
    <w:name w:val="Text-2 Zchn"/>
    <w:basedOn w:val="Absatz-Standardschriftart"/>
    <w:link w:val="Text-2"/>
    <w:rsid w:val="00713C4C"/>
    <w:rPr>
      <w:rFonts w:ascii="Times New Roman" w:eastAsia="Times New Roman" w:hAnsi="Times New Roman"/>
      <w:sz w:val="24"/>
    </w:rPr>
  </w:style>
  <w:style w:type="character" w:customStyle="1" w:styleId="berschrift6Zchn">
    <w:name w:val="Überschrift 6 Zchn"/>
    <w:basedOn w:val="Absatz-Standardschriftart"/>
    <w:link w:val="berschrift6"/>
    <w:uiPriority w:val="9"/>
    <w:rsid w:val="00713C4C"/>
    <w:rPr>
      <w:rFonts w:ascii="Times New Roman" w:eastAsia="Times New Roman" w:hAnsi="Times New Roman" w:cs="Times New Roman"/>
      <w:b/>
      <w:bCs/>
      <w:sz w:val="24"/>
      <w:szCs w:val="26"/>
      <w:lang w:eastAsia="en-US"/>
    </w:rPr>
  </w:style>
  <w:style w:type="character" w:customStyle="1" w:styleId="berschrift7Zchn">
    <w:name w:val="Überschrift 7 Zchn"/>
    <w:basedOn w:val="Absatz-Standardschriftart"/>
    <w:link w:val="berschrift7"/>
    <w:uiPriority w:val="9"/>
    <w:semiHidden/>
    <w:rsid w:val="00713C4C"/>
    <w:rPr>
      <w:rFonts w:ascii="Cambria" w:eastAsia="Times New Roman" w:hAnsi="Cambria" w:cs="Times New Roman"/>
      <w:i/>
      <w:iCs/>
      <w:color w:val="404040"/>
      <w:sz w:val="24"/>
      <w:szCs w:val="22"/>
      <w:lang w:eastAsia="en-US"/>
    </w:rPr>
  </w:style>
  <w:style w:type="paragraph" w:customStyle="1" w:styleId="Aufzhlung-1">
    <w:name w:val="Aufzählung-1"/>
    <w:basedOn w:val="Standard"/>
    <w:link w:val="Aufzhlung-1Zchn"/>
    <w:qFormat/>
    <w:rsid w:val="00713C4C"/>
    <w:pPr>
      <w:overflowPunct w:val="0"/>
      <w:autoSpaceDE w:val="0"/>
      <w:autoSpaceDN w:val="0"/>
      <w:adjustRightInd w:val="0"/>
      <w:ind w:left="567" w:hanging="567"/>
      <w:textAlignment w:val="baseline"/>
    </w:pPr>
    <w:rPr>
      <w:rFonts w:eastAsia="Times New Roman"/>
      <w:szCs w:val="20"/>
      <w:lang w:eastAsia="de-DE"/>
    </w:rPr>
  </w:style>
  <w:style w:type="character" w:customStyle="1" w:styleId="Aufzhlung-1Zchn">
    <w:name w:val="Aufzählung-1 Zchn"/>
    <w:basedOn w:val="Absatz-Standardschriftart"/>
    <w:link w:val="Aufzhlung-1"/>
    <w:rsid w:val="00713C4C"/>
    <w:rPr>
      <w:rFonts w:ascii="Times New Roman" w:eastAsia="Times New Roman" w:hAnsi="Times New Roman"/>
      <w:sz w:val="24"/>
    </w:rPr>
  </w:style>
  <w:style w:type="paragraph" w:customStyle="1" w:styleId="Aufzhlung-2">
    <w:name w:val="Aufzählung-2"/>
    <w:basedOn w:val="Standard"/>
    <w:link w:val="Aufzhlung-2Zchn"/>
    <w:qFormat/>
    <w:rsid w:val="00713C4C"/>
    <w:pPr>
      <w:overflowPunct w:val="0"/>
      <w:autoSpaceDE w:val="0"/>
      <w:autoSpaceDN w:val="0"/>
      <w:adjustRightInd w:val="0"/>
      <w:ind w:left="1134" w:hanging="567"/>
      <w:textAlignment w:val="baseline"/>
    </w:pPr>
    <w:rPr>
      <w:rFonts w:eastAsia="Times New Roman"/>
      <w:szCs w:val="20"/>
      <w:lang w:eastAsia="de-DE"/>
    </w:rPr>
  </w:style>
  <w:style w:type="character" w:customStyle="1" w:styleId="Aufzhlung-2Zchn">
    <w:name w:val="Aufzählung-2 Zchn"/>
    <w:basedOn w:val="Absatz-Standardschriftart"/>
    <w:link w:val="Aufzhlung-2"/>
    <w:rsid w:val="00713C4C"/>
    <w:rPr>
      <w:rFonts w:ascii="Times New Roman" w:eastAsia="Times New Roman" w:hAnsi="Times New Roman"/>
      <w:sz w:val="24"/>
    </w:rPr>
  </w:style>
  <w:style w:type="paragraph" w:customStyle="1" w:styleId="Beweis-1">
    <w:name w:val="Beweis-1"/>
    <w:basedOn w:val="Standard"/>
    <w:next w:val="Text-1"/>
    <w:link w:val="Beweis-1Zchn"/>
    <w:qFormat/>
    <w:rsid w:val="00713C4C"/>
    <w:pPr>
      <w:tabs>
        <w:tab w:val="left" w:pos="2552"/>
      </w:tabs>
      <w:overflowPunct w:val="0"/>
      <w:autoSpaceDE w:val="0"/>
      <w:autoSpaceDN w:val="0"/>
      <w:adjustRightInd w:val="0"/>
      <w:spacing w:before="240" w:after="600" w:line="240" w:lineRule="auto"/>
      <w:ind w:left="1134" w:hanging="1134"/>
      <w:textAlignment w:val="baseline"/>
    </w:pPr>
    <w:rPr>
      <w:rFonts w:eastAsia="Times New Roman"/>
      <w:szCs w:val="20"/>
      <w:u w:val="single"/>
      <w:lang w:eastAsia="de-DE"/>
    </w:rPr>
  </w:style>
  <w:style w:type="character" w:customStyle="1" w:styleId="Beweis-1Zchn">
    <w:name w:val="Beweis-1 Zchn"/>
    <w:basedOn w:val="Absatz-Standardschriftart"/>
    <w:link w:val="Beweis-1"/>
    <w:rsid w:val="00713C4C"/>
    <w:rPr>
      <w:rFonts w:ascii="Times New Roman" w:eastAsia="Times New Roman" w:hAnsi="Times New Roman"/>
      <w:sz w:val="24"/>
      <w:u w:val="single"/>
    </w:rPr>
  </w:style>
  <w:style w:type="paragraph" w:customStyle="1" w:styleId="Beweis-2">
    <w:name w:val="Beweis-2"/>
    <w:basedOn w:val="Standard"/>
    <w:next w:val="Text-2"/>
    <w:link w:val="Beweis-2Zchn"/>
    <w:qFormat/>
    <w:rsid w:val="00713C4C"/>
    <w:pPr>
      <w:tabs>
        <w:tab w:val="left" w:pos="3119"/>
      </w:tabs>
      <w:overflowPunct w:val="0"/>
      <w:autoSpaceDE w:val="0"/>
      <w:autoSpaceDN w:val="0"/>
      <w:adjustRightInd w:val="0"/>
      <w:spacing w:before="240" w:after="600" w:line="240" w:lineRule="auto"/>
      <w:ind w:left="1701" w:hanging="1134"/>
      <w:textAlignment w:val="baseline"/>
    </w:pPr>
    <w:rPr>
      <w:rFonts w:eastAsia="Times New Roman"/>
      <w:szCs w:val="20"/>
      <w:u w:val="single"/>
      <w:lang w:eastAsia="de-DE"/>
    </w:rPr>
  </w:style>
  <w:style w:type="character" w:customStyle="1" w:styleId="Beweis-2Zchn">
    <w:name w:val="Beweis-2 Zchn"/>
    <w:basedOn w:val="Absatz-Standardschriftart"/>
    <w:link w:val="Beweis-2"/>
    <w:rsid w:val="00713C4C"/>
    <w:rPr>
      <w:rFonts w:ascii="Times New Roman" w:eastAsia="Times New Roman" w:hAnsi="Times New Roman"/>
      <w:sz w:val="24"/>
      <w:u w:val="single"/>
    </w:rPr>
  </w:style>
  <w:style w:type="paragraph" w:customStyle="1" w:styleId="Beweis-3">
    <w:name w:val="Beweis-3"/>
    <w:basedOn w:val="Standard"/>
    <w:next w:val="Aufzhlung-2"/>
    <w:link w:val="Beweis-3Zchn"/>
    <w:qFormat/>
    <w:rsid w:val="00713C4C"/>
    <w:pPr>
      <w:tabs>
        <w:tab w:val="left" w:pos="3686"/>
      </w:tabs>
      <w:overflowPunct w:val="0"/>
      <w:autoSpaceDE w:val="0"/>
      <w:autoSpaceDN w:val="0"/>
      <w:adjustRightInd w:val="0"/>
      <w:spacing w:before="240" w:after="600" w:line="240" w:lineRule="auto"/>
      <w:ind w:left="2268" w:hanging="1134"/>
      <w:textAlignment w:val="baseline"/>
    </w:pPr>
    <w:rPr>
      <w:rFonts w:eastAsia="Times New Roman"/>
      <w:szCs w:val="20"/>
      <w:u w:val="single"/>
      <w:lang w:eastAsia="de-DE"/>
    </w:rPr>
  </w:style>
  <w:style w:type="character" w:customStyle="1" w:styleId="Beweis-3Zchn">
    <w:name w:val="Beweis-3 Zchn"/>
    <w:basedOn w:val="Absatz-Standardschriftart"/>
    <w:link w:val="Beweis-3"/>
    <w:rsid w:val="00713C4C"/>
    <w:rPr>
      <w:rFonts w:ascii="Times New Roman" w:eastAsia="Times New Roman" w:hAnsi="Times New Roman"/>
      <w:sz w:val="24"/>
      <w:u w:val="single"/>
    </w:rPr>
  </w:style>
  <w:style w:type="paragraph" w:customStyle="1" w:styleId="Zitat-1">
    <w:name w:val="Zitat-1"/>
    <w:basedOn w:val="Standard"/>
    <w:next w:val="Text-1"/>
    <w:link w:val="Zitat-1Zchn"/>
    <w:qFormat/>
    <w:rsid w:val="00713C4C"/>
    <w:pPr>
      <w:overflowPunct w:val="0"/>
      <w:autoSpaceDE w:val="0"/>
      <w:autoSpaceDN w:val="0"/>
      <w:adjustRightInd w:val="0"/>
      <w:spacing w:before="240" w:after="600" w:line="240" w:lineRule="auto"/>
      <w:ind w:left="567" w:right="851"/>
      <w:textAlignment w:val="baseline"/>
    </w:pPr>
    <w:rPr>
      <w:rFonts w:eastAsia="Times New Roman"/>
      <w:szCs w:val="20"/>
      <w:lang w:eastAsia="de-DE"/>
    </w:rPr>
  </w:style>
  <w:style w:type="character" w:customStyle="1" w:styleId="Zitat-1Zchn">
    <w:name w:val="Zitat-1 Zchn"/>
    <w:basedOn w:val="Absatz-Standardschriftart"/>
    <w:link w:val="Zitat-1"/>
    <w:rsid w:val="00713C4C"/>
    <w:rPr>
      <w:rFonts w:ascii="Times New Roman" w:eastAsia="Times New Roman" w:hAnsi="Times New Roman"/>
      <w:sz w:val="24"/>
    </w:rPr>
  </w:style>
  <w:style w:type="paragraph" w:customStyle="1" w:styleId="Zitat-2">
    <w:name w:val="Zitat-2"/>
    <w:basedOn w:val="Standard"/>
    <w:next w:val="Text-2"/>
    <w:link w:val="Zitat-2Zchn"/>
    <w:qFormat/>
    <w:rsid w:val="00713C4C"/>
    <w:pPr>
      <w:tabs>
        <w:tab w:val="left" w:pos="3686"/>
      </w:tabs>
      <w:overflowPunct w:val="0"/>
      <w:autoSpaceDE w:val="0"/>
      <w:autoSpaceDN w:val="0"/>
      <w:adjustRightInd w:val="0"/>
      <w:spacing w:before="240" w:after="600" w:line="240" w:lineRule="auto"/>
      <w:ind w:left="1134" w:right="851"/>
      <w:textAlignment w:val="baseline"/>
    </w:pPr>
    <w:rPr>
      <w:rFonts w:eastAsia="Times New Roman"/>
      <w:szCs w:val="20"/>
      <w:lang w:eastAsia="de-DE"/>
    </w:rPr>
  </w:style>
  <w:style w:type="character" w:customStyle="1" w:styleId="Zitat-2Zchn">
    <w:name w:val="Zitat-2 Zchn"/>
    <w:basedOn w:val="Absatz-Standardschriftart"/>
    <w:link w:val="Zitat-2"/>
    <w:rsid w:val="00713C4C"/>
    <w:rPr>
      <w:rFonts w:ascii="Times New Roman" w:eastAsia="Times New Roman" w:hAnsi="Times New Roman"/>
      <w:sz w:val="24"/>
    </w:rPr>
  </w:style>
  <w:style w:type="paragraph" w:customStyle="1" w:styleId="Zitat-3">
    <w:name w:val="Zitat-3"/>
    <w:basedOn w:val="Standard"/>
    <w:next w:val="Text-2"/>
    <w:link w:val="Zitat-3Zchn"/>
    <w:qFormat/>
    <w:rsid w:val="00713C4C"/>
    <w:pPr>
      <w:overflowPunct w:val="0"/>
      <w:autoSpaceDE w:val="0"/>
      <w:autoSpaceDN w:val="0"/>
      <w:adjustRightInd w:val="0"/>
      <w:spacing w:before="240" w:after="600" w:line="240" w:lineRule="auto"/>
      <w:ind w:left="1701" w:right="851"/>
      <w:textAlignment w:val="baseline"/>
    </w:pPr>
    <w:rPr>
      <w:rFonts w:eastAsia="Times New Roman"/>
      <w:szCs w:val="20"/>
      <w:lang w:eastAsia="de-DE"/>
    </w:rPr>
  </w:style>
  <w:style w:type="character" w:customStyle="1" w:styleId="Zitat-3Zchn">
    <w:name w:val="Zitat-3 Zchn"/>
    <w:basedOn w:val="Absatz-Standardschriftart"/>
    <w:link w:val="Zitat-3"/>
    <w:rsid w:val="00713C4C"/>
    <w:rPr>
      <w:rFonts w:ascii="Times New Roman" w:eastAsia="Times New Roman" w:hAnsi="Times New Roman"/>
      <w:sz w:val="24"/>
    </w:rPr>
  </w:style>
  <w:style w:type="paragraph" w:styleId="Kopfzeile">
    <w:name w:val="header"/>
    <w:basedOn w:val="Standard"/>
    <w:link w:val="KopfzeileZchn"/>
    <w:uiPriority w:val="99"/>
    <w:unhideWhenUsed/>
    <w:rsid w:val="00713C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3C4C"/>
    <w:rPr>
      <w:rFonts w:ascii="Times New Roman" w:eastAsia="Calibri" w:hAnsi="Times New Roman" w:cs="Times New Roman"/>
      <w:sz w:val="24"/>
      <w:szCs w:val="22"/>
      <w:lang w:eastAsia="en-US"/>
    </w:rPr>
  </w:style>
  <w:style w:type="paragraph" w:styleId="Fuzeile">
    <w:name w:val="footer"/>
    <w:basedOn w:val="Standard"/>
    <w:link w:val="FuzeileZchn"/>
    <w:uiPriority w:val="99"/>
    <w:semiHidden/>
    <w:unhideWhenUsed/>
    <w:rsid w:val="00713C4C"/>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13C4C"/>
    <w:rPr>
      <w:rFonts w:ascii="Times New Roman" w:eastAsia="Calibri" w:hAnsi="Times New Roman" w:cs="Times New Roman"/>
      <w:sz w:val="24"/>
      <w:szCs w:val="22"/>
      <w:lang w:eastAsia="en-US"/>
    </w:rPr>
  </w:style>
  <w:style w:type="character" w:styleId="Seitenzahl">
    <w:name w:val="page number"/>
    <w:basedOn w:val="Absatz-Standardschriftart"/>
    <w:semiHidden/>
    <w:rsid w:val="00713C4C"/>
    <w:rPr>
      <w:rFonts w:ascii="Times New Roman" w:hAnsi="Times New Roman"/>
      <w:sz w:val="24"/>
    </w:rPr>
  </w:style>
  <w:style w:type="paragraph" w:styleId="Sprechblasentext">
    <w:name w:val="Balloon Text"/>
    <w:basedOn w:val="Standard"/>
    <w:link w:val="SprechblasentextZchn"/>
    <w:uiPriority w:val="99"/>
    <w:semiHidden/>
    <w:unhideWhenUsed/>
    <w:rsid w:val="00713C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3C4C"/>
    <w:rPr>
      <w:rFonts w:ascii="Tahoma" w:eastAsia="Calibri" w:hAnsi="Tahoma" w:cs="Tahoma"/>
      <w:sz w:val="16"/>
      <w:szCs w:val="16"/>
      <w:lang w:eastAsia="en-US"/>
    </w:rPr>
  </w:style>
  <w:style w:type="paragraph" w:customStyle="1" w:styleId="Frist">
    <w:name w:val="Frist"/>
    <w:basedOn w:val="Standard"/>
    <w:next w:val="Text-2"/>
    <w:link w:val="FristZchn"/>
    <w:qFormat/>
    <w:rsid w:val="00713C4C"/>
    <w:pPr>
      <w:keepNext/>
      <w:keepLines/>
      <w:spacing w:before="240" w:after="360"/>
      <w:jc w:val="center"/>
    </w:pPr>
    <w:rPr>
      <w:b/>
    </w:rPr>
  </w:style>
  <w:style w:type="character" w:customStyle="1" w:styleId="FristZchn">
    <w:name w:val="Frist Zchn"/>
    <w:basedOn w:val="Absatz-Standardschriftart"/>
    <w:link w:val="Frist"/>
    <w:rsid w:val="00713C4C"/>
    <w:rPr>
      <w:rFonts w:ascii="Times New Roman" w:eastAsia="Calibri" w:hAnsi="Times New Roman" w:cs="Times New Roman"/>
      <w:b/>
      <w:sz w:val="24"/>
      <w:szCs w:val="22"/>
      <w:lang w:eastAsia="en-US"/>
    </w:rPr>
  </w:style>
  <w:style w:type="paragraph" w:styleId="Verzeichnis1">
    <w:name w:val="toc 1"/>
    <w:basedOn w:val="Standard"/>
    <w:next w:val="Standard"/>
    <w:uiPriority w:val="39"/>
    <w:semiHidden/>
    <w:unhideWhenUsed/>
    <w:rsid w:val="00713C4C"/>
    <w:pPr>
      <w:tabs>
        <w:tab w:val="right" w:leader="dot" w:pos="9356"/>
      </w:tabs>
      <w:spacing w:after="120" w:line="240" w:lineRule="auto"/>
      <w:ind w:left="992" w:right="851" w:hanging="425"/>
    </w:pPr>
    <w:rPr>
      <w:noProof/>
    </w:rPr>
  </w:style>
  <w:style w:type="paragraph" w:styleId="Verzeichnis2">
    <w:name w:val="toc 2"/>
    <w:basedOn w:val="Standard"/>
    <w:next w:val="Standard"/>
    <w:uiPriority w:val="39"/>
    <w:semiHidden/>
    <w:unhideWhenUsed/>
    <w:rsid w:val="00713C4C"/>
    <w:pPr>
      <w:tabs>
        <w:tab w:val="right" w:leader="dot" w:pos="9356"/>
      </w:tabs>
      <w:spacing w:after="120" w:line="240" w:lineRule="auto"/>
      <w:ind w:left="1417" w:right="845" w:hanging="425"/>
    </w:pPr>
    <w:rPr>
      <w:noProof/>
    </w:rPr>
  </w:style>
  <w:style w:type="paragraph" w:styleId="Verzeichnis3">
    <w:name w:val="toc 3"/>
    <w:basedOn w:val="Standard"/>
    <w:next w:val="Standard"/>
    <w:uiPriority w:val="39"/>
    <w:semiHidden/>
    <w:unhideWhenUsed/>
    <w:rsid w:val="00713C4C"/>
    <w:pPr>
      <w:tabs>
        <w:tab w:val="right" w:leader="dot" w:pos="9356"/>
      </w:tabs>
      <w:spacing w:after="60" w:line="240" w:lineRule="auto"/>
      <w:ind w:left="1843" w:right="992" w:hanging="425"/>
    </w:pPr>
    <w:rPr>
      <w:noProof/>
    </w:rPr>
  </w:style>
  <w:style w:type="paragraph" w:styleId="Verzeichnis4">
    <w:name w:val="toc 4"/>
    <w:basedOn w:val="Standard"/>
    <w:next w:val="Standard"/>
    <w:uiPriority w:val="39"/>
    <w:semiHidden/>
    <w:unhideWhenUsed/>
    <w:rsid w:val="00713C4C"/>
    <w:pPr>
      <w:tabs>
        <w:tab w:val="right" w:leader="dot" w:pos="9356"/>
      </w:tabs>
      <w:spacing w:after="60" w:line="240" w:lineRule="auto"/>
      <w:ind w:left="2268" w:right="851" w:hanging="425"/>
    </w:pPr>
    <w:rPr>
      <w:noProof/>
    </w:rPr>
  </w:style>
  <w:style w:type="paragraph" w:styleId="Verzeichnis5">
    <w:name w:val="toc 5"/>
    <w:basedOn w:val="Standard"/>
    <w:next w:val="Standard"/>
    <w:uiPriority w:val="39"/>
    <w:semiHidden/>
    <w:unhideWhenUsed/>
    <w:rsid w:val="00713C4C"/>
    <w:pPr>
      <w:tabs>
        <w:tab w:val="right" w:leader="dot" w:pos="9356"/>
      </w:tabs>
      <w:spacing w:after="0" w:line="240" w:lineRule="auto"/>
      <w:ind w:left="2693" w:right="851" w:hanging="425"/>
    </w:pPr>
    <w:rPr>
      <w:noProof/>
    </w:rPr>
  </w:style>
  <w:style w:type="paragraph" w:styleId="Verzeichnis6">
    <w:name w:val="toc 6"/>
    <w:basedOn w:val="Standard"/>
    <w:next w:val="Standard"/>
    <w:uiPriority w:val="39"/>
    <w:semiHidden/>
    <w:unhideWhenUsed/>
    <w:rsid w:val="00713C4C"/>
    <w:pPr>
      <w:spacing w:after="100" w:line="240" w:lineRule="auto"/>
      <w:ind w:left="1200"/>
    </w:pPr>
    <w:rPr>
      <w:noProof/>
    </w:rPr>
  </w:style>
  <w:style w:type="paragraph" w:customStyle="1" w:styleId="Adresse">
    <w:name w:val="Adresse"/>
    <w:rsid w:val="00713C4C"/>
    <w:pPr>
      <w:tabs>
        <w:tab w:val="right" w:pos="6804"/>
        <w:tab w:val="right" w:pos="9072"/>
      </w:tabs>
      <w:overflowPunct w:val="0"/>
      <w:autoSpaceDE w:val="0"/>
      <w:autoSpaceDN w:val="0"/>
      <w:adjustRightInd w:val="0"/>
      <w:spacing w:line="240" w:lineRule="atLeast"/>
      <w:textAlignment w:val="baseline"/>
    </w:pPr>
    <w:rPr>
      <w:rFonts w:ascii="Arial" w:eastAsia="Times New Roman" w:hAnsi="Arial"/>
      <w:sz w:val="24"/>
    </w:rPr>
  </w:style>
  <w:style w:type="character" w:styleId="Kommentarzeichen">
    <w:name w:val="annotation reference"/>
    <w:basedOn w:val="Absatz-Standardschriftart"/>
    <w:uiPriority w:val="99"/>
    <w:semiHidden/>
    <w:unhideWhenUsed/>
    <w:rsid w:val="00713C4C"/>
    <w:rPr>
      <w:sz w:val="16"/>
      <w:szCs w:val="16"/>
    </w:rPr>
  </w:style>
  <w:style w:type="paragraph" w:styleId="Kommentartext">
    <w:name w:val="annotation text"/>
    <w:basedOn w:val="Standard"/>
    <w:link w:val="KommentartextZchn"/>
    <w:uiPriority w:val="99"/>
    <w:semiHidden/>
    <w:unhideWhenUsed/>
    <w:rsid w:val="00713C4C"/>
    <w:rPr>
      <w:sz w:val="20"/>
      <w:szCs w:val="20"/>
    </w:rPr>
  </w:style>
  <w:style w:type="character" w:customStyle="1" w:styleId="KommentartextZchn">
    <w:name w:val="Kommentartext Zchn"/>
    <w:basedOn w:val="Absatz-Standardschriftart"/>
    <w:link w:val="Kommentartext"/>
    <w:uiPriority w:val="99"/>
    <w:semiHidden/>
    <w:rsid w:val="00713C4C"/>
    <w:rPr>
      <w:rFonts w:ascii="Times New Roman" w:hAnsi="Times New Roman"/>
      <w:lang w:eastAsia="en-US"/>
    </w:rPr>
  </w:style>
  <w:style w:type="paragraph" w:styleId="Kommentarthema">
    <w:name w:val="annotation subject"/>
    <w:basedOn w:val="Kommentartext"/>
    <w:next w:val="Kommentartext"/>
    <w:link w:val="KommentarthemaZchn"/>
    <w:uiPriority w:val="99"/>
    <w:semiHidden/>
    <w:unhideWhenUsed/>
    <w:rsid w:val="00713C4C"/>
    <w:rPr>
      <w:b/>
      <w:bCs/>
    </w:rPr>
  </w:style>
  <w:style w:type="character" w:customStyle="1" w:styleId="KommentarthemaZchn">
    <w:name w:val="Kommentarthema Zchn"/>
    <w:basedOn w:val="KommentartextZchn"/>
    <w:link w:val="Kommentarthema"/>
    <w:uiPriority w:val="99"/>
    <w:semiHidden/>
    <w:rsid w:val="00713C4C"/>
    <w:rPr>
      <w:b/>
      <w:bCs/>
    </w:rPr>
  </w:style>
  <w:style w:type="table" w:styleId="Tabellengitternetz">
    <w:name w:val="Table Grid"/>
    <w:basedOn w:val="NormaleTabelle"/>
    <w:uiPriority w:val="59"/>
    <w:rsid w:val="00713C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Verzeichnis7">
    <w:name w:val="toc 7"/>
    <w:basedOn w:val="Verzeichnis1"/>
    <w:next w:val="Standard"/>
    <w:autoRedefine/>
    <w:uiPriority w:val="39"/>
    <w:semiHidden/>
    <w:unhideWhenUsed/>
    <w:rsid w:val="00713C4C"/>
    <w:pPr>
      <w:ind w:left="3544"/>
    </w:pPr>
  </w:style>
  <w:style w:type="paragraph" w:styleId="StandardWeb">
    <w:name w:val="Normal (Web)"/>
    <w:basedOn w:val="Standard"/>
    <w:uiPriority w:val="99"/>
    <w:semiHidden/>
    <w:unhideWhenUsed/>
    <w:rsid w:val="00713C4C"/>
    <w:pPr>
      <w:spacing w:after="0" w:line="240" w:lineRule="auto"/>
    </w:pPr>
    <w:rPr>
      <w:szCs w:val="24"/>
    </w:rPr>
  </w:style>
  <w:style w:type="paragraph" w:customStyle="1" w:styleId="Dateibezeichnung">
    <w:name w:val="Dateibezeichnung"/>
    <w:basedOn w:val="Standard"/>
    <w:qFormat/>
    <w:rsid w:val="00713C4C"/>
    <w:pPr>
      <w:framePr w:w="2642" w:h="2981" w:hRule="exact" w:hSpace="181" w:wrap="around" w:vAnchor="text" w:hAnchor="page" w:x="8851" w:y="8699"/>
      <w:shd w:val="clear" w:color="D8D8D8" w:fill="FFFFFF"/>
      <w:spacing w:after="0" w:line="240" w:lineRule="auto"/>
    </w:pPr>
    <w:rPr>
      <w:sz w:val="12"/>
    </w:rPr>
  </w:style>
  <w:style w:type="paragraph" w:customStyle="1" w:styleId="01NameMitarbeiter">
    <w:name w:val="01 Name Mitarbeiter"/>
    <w:basedOn w:val="Standard"/>
    <w:uiPriority w:val="99"/>
    <w:rsid w:val="00713C4C"/>
    <w:pPr>
      <w:autoSpaceDE w:val="0"/>
      <w:autoSpaceDN w:val="0"/>
      <w:adjustRightInd w:val="0"/>
      <w:spacing w:after="0" w:line="200" w:lineRule="atLeast"/>
      <w:textAlignment w:val="center"/>
    </w:pPr>
    <w:rPr>
      <w:rFonts w:ascii="Calibri" w:eastAsiaTheme="minorEastAsia" w:hAnsi="Calibri" w:cs="Calibri"/>
      <w:color w:val="262626"/>
      <w:sz w:val="16"/>
      <w:szCs w:val="16"/>
    </w:rPr>
  </w:style>
  <w:style w:type="paragraph" w:customStyle="1" w:styleId="02BezeichnungMitarbeiter">
    <w:name w:val="02 Bezeichnung Mitarbeiter"/>
    <w:basedOn w:val="Standard"/>
    <w:uiPriority w:val="99"/>
    <w:rsid w:val="00713C4C"/>
    <w:pPr>
      <w:autoSpaceDE w:val="0"/>
      <w:autoSpaceDN w:val="0"/>
      <w:adjustRightInd w:val="0"/>
      <w:spacing w:after="198" w:line="200" w:lineRule="atLeast"/>
      <w:textAlignment w:val="center"/>
    </w:pPr>
    <w:rPr>
      <w:rFonts w:ascii="Calibri" w:eastAsiaTheme="minorEastAsia" w:hAnsi="Calibri" w:cs="Calibri"/>
      <w:i/>
      <w:iCs/>
      <w:color w:val="262626"/>
      <w:sz w:val="16"/>
      <w:szCs w:val="16"/>
    </w:rPr>
  </w:style>
  <w:style w:type="paragraph" w:customStyle="1" w:styleId="03TextXS">
    <w:name w:val="03 Text XS"/>
    <w:basedOn w:val="02BezeichnungMitarbeiter"/>
    <w:uiPriority w:val="99"/>
    <w:rsid w:val="00713C4C"/>
    <w:rPr>
      <w:sz w:val="14"/>
      <w:szCs w:val="14"/>
    </w:rPr>
  </w:style>
  <w:style w:type="paragraph" w:customStyle="1" w:styleId="04Adresse">
    <w:name w:val="04 Adresse"/>
    <w:basedOn w:val="Standard"/>
    <w:uiPriority w:val="99"/>
    <w:rsid w:val="00713C4C"/>
    <w:pPr>
      <w:tabs>
        <w:tab w:val="left" w:pos="272"/>
      </w:tabs>
      <w:autoSpaceDE w:val="0"/>
      <w:autoSpaceDN w:val="0"/>
      <w:adjustRightInd w:val="0"/>
      <w:spacing w:after="0" w:line="200" w:lineRule="atLeast"/>
      <w:textAlignment w:val="center"/>
    </w:pPr>
    <w:rPr>
      <w:rFonts w:ascii="Calibri" w:eastAsia="Times New Roman" w:hAnsi="Calibri" w:cs="Calibri"/>
      <w:color w:val="262626"/>
      <w:sz w:val="16"/>
      <w:szCs w:val="16"/>
    </w:rPr>
  </w:style>
  <w:style w:type="paragraph" w:styleId="KeinLeerraum">
    <w:name w:val="No Spacing"/>
    <w:aliases w:val="WERNER-RI klein"/>
    <w:uiPriority w:val="1"/>
    <w:qFormat/>
    <w:rsid w:val="00713C4C"/>
    <w:pPr>
      <w:tabs>
        <w:tab w:val="left" w:pos="284"/>
      </w:tabs>
      <w:spacing w:line="200" w:lineRule="exact"/>
    </w:pPr>
    <w:rPr>
      <w:rFonts w:eastAsiaTheme="minorHAnsi" w:cstheme="minorBidi"/>
      <w:sz w:val="16"/>
      <w:szCs w:val="22"/>
      <w:lang w:eastAsia="en-US"/>
    </w:rPr>
  </w:style>
  <w:style w:type="character" w:styleId="Hyperlink">
    <w:name w:val="Hyperlink"/>
    <w:basedOn w:val="Absatz-Standardschriftart"/>
    <w:uiPriority w:val="99"/>
    <w:unhideWhenUsed/>
    <w:rsid w:val="00713C4C"/>
    <w:rPr>
      <w:color w:val="0000FF" w:themeColor="hyperlink"/>
      <w:u w:val="single"/>
    </w:rPr>
  </w:style>
  <w:style w:type="paragraph" w:customStyle="1" w:styleId="TextprobeGeorgia">
    <w:name w:val="Textprobe Georgia"/>
    <w:basedOn w:val="Standard"/>
    <w:uiPriority w:val="99"/>
    <w:rsid w:val="00713C4C"/>
    <w:pPr>
      <w:tabs>
        <w:tab w:val="left" w:pos="1984"/>
        <w:tab w:val="left" w:pos="2835"/>
      </w:tabs>
      <w:autoSpaceDE w:val="0"/>
      <w:autoSpaceDN w:val="0"/>
      <w:adjustRightInd w:val="0"/>
      <w:spacing w:after="227" w:line="440" w:lineRule="atLeast"/>
      <w:textAlignment w:val="center"/>
    </w:pPr>
    <w:rPr>
      <w:rFonts w:ascii="Georgia" w:eastAsiaTheme="minorEastAsia" w:hAnsi="Georgia" w:cs="Georgia"/>
      <w:color w:val="000000"/>
      <w:sz w:val="22"/>
    </w:rPr>
  </w:style>
</w:styles>
</file>

<file path=word/webSettings.xml><?xml version="1.0" encoding="utf-8"?>
<w:webSettings xmlns:r="http://schemas.openxmlformats.org/officeDocument/2006/relationships" xmlns:w="http://schemas.openxmlformats.org/wordprocessingml/2006/main">
  <w:divs>
    <w:div w:id="644551633">
      <w:bodyDiv w:val="1"/>
      <w:marLeft w:val="0"/>
      <w:marRight w:val="0"/>
      <w:marTop w:val="0"/>
      <w:marBottom w:val="0"/>
      <w:divBdr>
        <w:top w:val="none" w:sz="0" w:space="0" w:color="auto"/>
        <w:left w:val="none" w:sz="0" w:space="0" w:color="auto"/>
        <w:bottom w:val="none" w:sz="0" w:space="0" w:color="auto"/>
        <w:right w:val="none" w:sz="0" w:space="0" w:color="auto"/>
      </w:divBdr>
    </w:div>
    <w:div w:id="87303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AdvoWare\Dot\bet.Schreiben.Telefax.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67CA2-E198-4D0D-B8BB-1CD8FA994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bet.Schreiben.Telefax.dotm</Template>
  <TotalTime>0</TotalTime>
  <Pages>18</Pages>
  <Words>4077</Words>
  <Characters>25864</Characters>
  <Application>Microsoft Office Word</Application>
  <DocSecurity>0</DocSecurity>
  <Lines>483</Lines>
  <Paragraphs>118</Paragraphs>
  <ScaleCrop>false</ScaleCrop>
  <HeadingPairs>
    <vt:vector size="2" baseType="variant">
      <vt:variant>
        <vt:lpstr>Titel</vt:lpstr>
      </vt:variant>
      <vt:variant>
        <vt:i4>1</vt:i4>
      </vt:variant>
    </vt:vector>
  </HeadingPairs>
  <TitlesOfParts>
    <vt:vector size="1" baseType="lpstr">
      <vt:lpstr>1510145010.Ka01.docx</vt:lpstr>
    </vt:vector>
  </TitlesOfParts>
  <Company>AMELUNG BRÜNING WERNER</Company>
  <LinksUpToDate>false</LinksUpToDate>
  <CharactersWithSpaces>29836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Rechtsanwälte Informatiker</dc:creator>
  <cp:keywords>beA</cp:keywords>
  <dc:description>Antrag an die BRAK</dc:description>
  <cp:lastModifiedBy>WERNER Rechtsanwälte Informatiker</cp:lastModifiedBy>
  <cp:revision>4</cp:revision>
  <cp:lastPrinted>2015-11-17T11:56:00Z</cp:lastPrinted>
  <dcterms:created xsi:type="dcterms:W3CDTF">2015-11-18T06:28:00Z</dcterms:created>
  <dcterms:modified xsi:type="dcterms:W3CDTF">2015-11-18T06:30:00Z</dcterms:modified>
</cp:coreProperties>
</file>